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C3" w:rsidRDefault="007000C3" w:rsidP="007000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Субъектами малого и среднего предпринимательства</w:t>
      </w:r>
      <w:r w:rsidR="001F5ACC">
        <w:rPr>
          <w:sz w:val="28"/>
          <w:szCs w:val="28"/>
        </w:rPr>
        <w:t>, зарегистрированных на территории МО МР «</w:t>
      </w:r>
      <w:proofErr w:type="spellStart"/>
      <w:r w:rsidR="001F5ACC">
        <w:rPr>
          <w:sz w:val="28"/>
          <w:szCs w:val="28"/>
        </w:rPr>
        <w:t>Усть-Куломский</w:t>
      </w:r>
      <w:proofErr w:type="spellEnd"/>
      <w:r w:rsidR="001F5AC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являются 492 хозяйствующих субъекта (70 юридических лиц и 422 индивидуальных предпринимателя)</w:t>
      </w:r>
      <w:r w:rsidR="001F5ACC">
        <w:rPr>
          <w:sz w:val="28"/>
          <w:szCs w:val="28"/>
        </w:rPr>
        <w:t>.</w:t>
      </w:r>
    </w:p>
    <w:p w:rsidR="001F5ACC" w:rsidRDefault="001F5ACC" w:rsidP="007000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F5ACC" w:rsidRDefault="001F5ACC" w:rsidP="001F5ACC">
      <w:pPr>
        <w:pStyle w:val="4"/>
        <w:rPr>
          <w:rFonts w:eastAsia="MS Mincho"/>
        </w:rPr>
      </w:pPr>
      <w:bookmarkStart w:id="0" w:name="_Toc248037134"/>
      <w:bookmarkStart w:id="1" w:name="_Toc278974703"/>
      <w:bookmarkStart w:id="2" w:name="_Toc437869165"/>
      <w:bookmarkStart w:id="3" w:name="_Toc497229601"/>
      <w:bookmarkStart w:id="4" w:name="_Toc509496366"/>
      <w:bookmarkStart w:id="5" w:name="_Toc532542700"/>
      <w:bookmarkStart w:id="6" w:name="_Toc27398413"/>
      <w:bookmarkStart w:id="7" w:name="_Toc27573570"/>
      <w:bookmarkStart w:id="8" w:name="_Toc27744424"/>
      <w:bookmarkStart w:id="9" w:name="_Toc89770824"/>
      <w:bookmarkStart w:id="10" w:name="_Toc121323189"/>
      <w:bookmarkStart w:id="11" w:name="_Toc165019455"/>
      <w:bookmarkStart w:id="12" w:name="_Toc184028724"/>
      <w:bookmarkStart w:id="13" w:name="_Toc189557937"/>
      <w:r>
        <w:t xml:space="preserve">Количество индивидуальных предпринимателей </w:t>
      </w:r>
      <w:r>
        <w:rPr>
          <w:rFonts w:eastAsia="MS Mincho"/>
        </w:rPr>
        <w:t xml:space="preserve">по видам экономической деятельности </w:t>
      </w:r>
      <w:r>
        <w:rPr>
          <w:rFonts w:eastAsia="MS Mincho"/>
          <w:sz w:val="24"/>
          <w:szCs w:val="24"/>
        </w:rPr>
        <w:t>на 1</w:t>
      </w:r>
      <w:r>
        <w:rPr>
          <w:rFonts w:eastAsia="MS Mincho"/>
          <w:sz w:val="24"/>
        </w:rPr>
        <w:t xml:space="preserve"> января</w:t>
      </w:r>
      <w:r>
        <w:rPr>
          <w:sz w:val="24"/>
        </w:rPr>
        <w:t xml:space="preserve"> </w:t>
      </w:r>
      <w:r>
        <w:rPr>
          <w:rFonts w:eastAsia="MS Mincho"/>
          <w:sz w:val="24"/>
        </w:rPr>
        <w:t>2025 г.</w:t>
      </w:r>
      <w:bookmarkEnd w:id="0"/>
      <w:bookmarkEnd w:id="1"/>
      <w:bookmarkEnd w:id="2"/>
      <w:bookmarkEnd w:id="3"/>
      <w:r>
        <w:rPr>
          <w:vertAlign w:val="superscript"/>
        </w:rPr>
        <w:t xml:space="preserve"> </w:t>
      </w:r>
      <w:r>
        <w:rPr>
          <w:rFonts w:eastAsia="MS Mincho"/>
          <w:vertAlign w:val="superscript"/>
        </w:rPr>
        <w:t>1)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eastAsia="MS Mincho"/>
        </w:rPr>
        <w:t xml:space="preserve"> 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35"/>
        <w:gridCol w:w="1984"/>
      </w:tblGrid>
      <w:tr w:rsidR="001F5ACC" w:rsidRPr="001F5ACC" w:rsidTr="001F5ACC">
        <w:trPr>
          <w:cantSplit/>
          <w:tblHeader/>
        </w:trPr>
        <w:tc>
          <w:tcPr>
            <w:tcW w:w="7235" w:type="dxa"/>
          </w:tcPr>
          <w:p w:rsidR="001F5ACC" w:rsidRPr="001F5ACC" w:rsidRDefault="001F5ACC" w:rsidP="000B49CE">
            <w:pPr>
              <w:pStyle w:val="5-"/>
              <w:rPr>
                <w:rFonts w:ascii="Times New Roman" w:eastAsia="MS Mincho" w:hAnsi="Times New Roman"/>
                <w:sz w:val="24"/>
              </w:rPr>
            </w:pPr>
            <w:r w:rsidRPr="001F5ACC">
              <w:rPr>
                <w:rFonts w:ascii="Times New Roman" w:eastAsia="MS Mincho" w:hAnsi="Times New Roman"/>
                <w:sz w:val="24"/>
              </w:rPr>
              <w:t>Виды экономической деятельности</w:t>
            </w:r>
          </w:p>
        </w:tc>
        <w:tc>
          <w:tcPr>
            <w:tcW w:w="1984" w:type="dxa"/>
          </w:tcPr>
          <w:p w:rsidR="001F5ACC" w:rsidRPr="001F5ACC" w:rsidRDefault="001F5ACC" w:rsidP="000B49CE">
            <w:pPr>
              <w:pStyle w:val="5-"/>
              <w:rPr>
                <w:rFonts w:ascii="Times New Roman" w:hAnsi="Times New Roman"/>
                <w:sz w:val="24"/>
              </w:rPr>
            </w:pPr>
            <w:r w:rsidRPr="001F5ACC">
              <w:rPr>
                <w:rFonts w:ascii="Times New Roman" w:hAnsi="Times New Roman"/>
                <w:sz w:val="24"/>
              </w:rPr>
              <w:t>МО МР «</w:t>
            </w:r>
            <w:proofErr w:type="spellStart"/>
            <w:r w:rsidRPr="001F5ACC">
              <w:rPr>
                <w:rFonts w:ascii="Times New Roman" w:hAnsi="Times New Roman"/>
                <w:sz w:val="24"/>
              </w:rPr>
              <w:t>Усть-Куломский</w:t>
            </w:r>
            <w:proofErr w:type="spellEnd"/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1"/>
              <w:spacing w:before="60" w:after="40"/>
              <w:jc w:val="left"/>
              <w:rPr>
                <w:rFonts w:ascii="Times New Roman" w:eastAsia="MS Mincho" w:hAnsi="Times New Roman"/>
                <w:b/>
                <w:sz w:val="24"/>
              </w:rPr>
            </w:pPr>
            <w:r w:rsidRPr="001F5ACC">
              <w:rPr>
                <w:rFonts w:ascii="Times New Roman" w:eastAsia="MS Mincho" w:hAnsi="Times New Roman"/>
                <w:b/>
                <w:sz w:val="24"/>
              </w:rPr>
              <w:t>Всего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453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 xml:space="preserve">Сельское, лесное хозяйство, охота, </w:t>
            </w:r>
            <w:r w:rsidRPr="001F5ACC">
              <w:rPr>
                <w:rFonts w:ascii="Times New Roman" w:hAnsi="Times New Roman"/>
                <w:bCs/>
                <w:sz w:val="24"/>
              </w:rPr>
              <w:br/>
              <w:t>рыболовство и рыбоводство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>Добыча полезных ископаемых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>Обрабатывающие производства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 xml:space="preserve">Водоснабжение; водоотведение, </w:t>
            </w:r>
            <w:r w:rsidRPr="001F5ACC">
              <w:rPr>
                <w:rFonts w:ascii="Times New Roman" w:hAnsi="Times New Roman"/>
                <w:bCs/>
                <w:sz w:val="24"/>
              </w:rPr>
              <w:br/>
              <w:t xml:space="preserve">организация сбора и утилизации </w:t>
            </w:r>
            <w:r w:rsidRPr="001F5ACC">
              <w:rPr>
                <w:rFonts w:ascii="Times New Roman" w:hAnsi="Times New Roman"/>
                <w:bCs/>
                <w:sz w:val="24"/>
              </w:rPr>
              <w:br/>
              <w:t>отходов, деятельность по ликвидации загрязнений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>Строительство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1F5ACC">
              <w:rPr>
                <w:rFonts w:ascii="Times New Roman" w:hAnsi="Times New Roman"/>
                <w:bCs/>
                <w:spacing w:val="-2"/>
                <w:sz w:val="24"/>
              </w:rPr>
              <w:t xml:space="preserve">Торговля оптовая и розничная; ремонт </w:t>
            </w:r>
            <w:r w:rsidRPr="001F5ACC">
              <w:rPr>
                <w:rFonts w:ascii="Times New Roman" w:hAnsi="Times New Roman"/>
                <w:bCs/>
                <w:spacing w:val="-2"/>
                <w:sz w:val="24"/>
              </w:rPr>
              <w:br/>
              <w:t>автотранспортных средств и мотоциклов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155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>Транспортировка и хранение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sz w:val="24"/>
              </w:rPr>
            </w:pPr>
            <w:r w:rsidRPr="001F5ACC">
              <w:rPr>
                <w:rFonts w:ascii="Times New Roman" w:hAnsi="Times New Roman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 xml:space="preserve">Деятельность в области информации </w:t>
            </w:r>
            <w:r w:rsidRPr="001F5ACC">
              <w:rPr>
                <w:rFonts w:ascii="Times New Roman" w:hAnsi="Times New Roman"/>
                <w:bCs/>
                <w:sz w:val="24"/>
              </w:rPr>
              <w:br/>
              <w:t>и связи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>Деятельность финансовая и страховая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pacing w:val="-4"/>
                <w:sz w:val="24"/>
              </w:rPr>
            </w:pPr>
            <w:r w:rsidRPr="001F5ACC">
              <w:rPr>
                <w:rFonts w:ascii="Times New Roman" w:hAnsi="Times New Roman"/>
                <w:bCs/>
                <w:spacing w:val="-4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 xml:space="preserve">Деятельность профессиональная, </w:t>
            </w:r>
            <w:r w:rsidRPr="001F5ACC">
              <w:rPr>
                <w:rFonts w:ascii="Times New Roman" w:hAnsi="Times New Roman"/>
                <w:bCs/>
                <w:sz w:val="24"/>
              </w:rPr>
              <w:br/>
              <w:t>научная и техническая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1F5ACC">
              <w:rPr>
                <w:rFonts w:ascii="Times New Roman" w:hAnsi="Times New Roman"/>
                <w:bCs/>
                <w:spacing w:val="-2"/>
                <w:sz w:val="24"/>
              </w:rPr>
              <w:t xml:space="preserve">Деятельность административная </w:t>
            </w:r>
            <w:r w:rsidRPr="001F5ACC">
              <w:rPr>
                <w:rFonts w:ascii="Times New Roman" w:hAnsi="Times New Roman"/>
                <w:bCs/>
                <w:spacing w:val="-2"/>
                <w:sz w:val="24"/>
              </w:rPr>
              <w:br/>
              <w:t xml:space="preserve">и сопутствующие дополнительные </w:t>
            </w:r>
            <w:r w:rsidRPr="001F5ACC">
              <w:rPr>
                <w:rFonts w:ascii="Times New Roman" w:hAnsi="Times New Roman"/>
                <w:bCs/>
                <w:spacing w:val="-2"/>
                <w:sz w:val="24"/>
              </w:rPr>
              <w:br/>
              <w:t>усл</w:t>
            </w:r>
            <w:r w:rsidRPr="001F5ACC">
              <w:rPr>
                <w:rFonts w:ascii="Times New Roman" w:hAnsi="Times New Roman"/>
                <w:bCs/>
                <w:spacing w:val="-2"/>
                <w:sz w:val="24"/>
              </w:rPr>
              <w:t>у</w:t>
            </w:r>
            <w:r w:rsidRPr="001F5ACC">
              <w:rPr>
                <w:rFonts w:ascii="Times New Roman" w:hAnsi="Times New Roman"/>
                <w:bCs/>
                <w:spacing w:val="-2"/>
                <w:sz w:val="24"/>
              </w:rPr>
              <w:t>ги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>Образование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 xml:space="preserve">Деятельность в области здравоохранения </w:t>
            </w:r>
            <w:r w:rsidRPr="001F5ACC">
              <w:rPr>
                <w:rFonts w:ascii="Times New Roman" w:hAnsi="Times New Roman"/>
                <w:bCs/>
                <w:sz w:val="24"/>
              </w:rPr>
              <w:br/>
              <w:t>и социальных услуг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1F5ACC">
              <w:rPr>
                <w:rFonts w:ascii="Times New Roman" w:hAnsi="Times New Roman"/>
                <w:bCs/>
                <w:spacing w:val="-2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F5ACC" w:rsidRPr="001F5ACC" w:rsidTr="001F5ACC">
        <w:trPr>
          <w:cantSplit/>
        </w:trPr>
        <w:tc>
          <w:tcPr>
            <w:tcW w:w="7235" w:type="dxa"/>
            <w:vAlign w:val="bottom"/>
          </w:tcPr>
          <w:p w:rsidR="001F5ACC" w:rsidRPr="001F5ACC" w:rsidRDefault="001F5ACC" w:rsidP="000B49CE">
            <w:pPr>
              <w:pStyle w:val="6-2"/>
              <w:spacing w:before="60" w:after="40"/>
              <w:rPr>
                <w:rFonts w:ascii="Times New Roman" w:hAnsi="Times New Roman"/>
                <w:bCs/>
                <w:sz w:val="24"/>
              </w:rPr>
            </w:pPr>
            <w:r w:rsidRPr="001F5ACC">
              <w:rPr>
                <w:rFonts w:ascii="Times New Roman" w:hAnsi="Times New Roman"/>
                <w:bCs/>
                <w:sz w:val="24"/>
              </w:rPr>
              <w:t>Предоставление прочих видов услуг</w:t>
            </w:r>
          </w:p>
        </w:tc>
        <w:tc>
          <w:tcPr>
            <w:tcW w:w="1984" w:type="dxa"/>
            <w:vAlign w:val="bottom"/>
          </w:tcPr>
          <w:p w:rsidR="001F5ACC" w:rsidRPr="001F5ACC" w:rsidRDefault="001F5ACC" w:rsidP="000B49CE">
            <w:pPr>
              <w:pStyle w:val="6-"/>
              <w:spacing w:before="60" w:after="40"/>
              <w:ind w:right="567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F5A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</w:tbl>
    <w:p w:rsidR="001F5ACC" w:rsidRDefault="001F5ACC" w:rsidP="007000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000C3" w:rsidRDefault="007000C3" w:rsidP="007000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Поддержка субъектов МСП осуществляется в рамках муниципальной программы «Развитие экономики». За период 2020-2024 год финансовая поддержка оказана  11 субъектам МСП (без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)  в размере 26,2 млн. руб., из них по видам поддержки </w:t>
      </w:r>
    </w:p>
    <w:p w:rsidR="007000C3" w:rsidRDefault="007000C3" w:rsidP="007000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- 11,1 млн. руб. на возмещение части затрат, связанных с приобретением оборудования в целях создания и (или) развития, либо модернизации производства  товаров (работ, услуг);</w:t>
      </w:r>
    </w:p>
    <w:p w:rsidR="007000C3" w:rsidRDefault="007000C3" w:rsidP="007000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- 8,4 млн. руб. на финансовое обеспечение части затрат на реализацию народных проектов в сфере малого и среднего предпринимательства.</w:t>
      </w:r>
    </w:p>
    <w:p w:rsidR="007000C3" w:rsidRDefault="007000C3" w:rsidP="007000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6,1 млн. руб. на финансовое обеспечение части затрат на реализацию народных инициатив и инициативных проектов;</w:t>
      </w:r>
    </w:p>
    <w:p w:rsidR="007000C3" w:rsidRDefault="007000C3" w:rsidP="007000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0,6 млн. руб.  на возмещение части затрат по договорам лизинга.</w:t>
      </w:r>
    </w:p>
    <w:p w:rsidR="00C73CDA" w:rsidRPr="00C73CDA" w:rsidRDefault="00C73CDA" w:rsidP="00C73CDA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2024 году ф</w:t>
      </w:r>
      <w:r w:rsidRPr="00C73CDA">
        <w:rPr>
          <w:sz w:val="28"/>
          <w:szCs w:val="28"/>
        </w:rPr>
        <w:t xml:space="preserve">инансовая поддержка </w:t>
      </w:r>
      <w:proofErr w:type="spellStart"/>
      <w:r w:rsidRPr="00C73CDA">
        <w:rPr>
          <w:sz w:val="28"/>
          <w:szCs w:val="28"/>
        </w:rPr>
        <w:t>СМиСП</w:t>
      </w:r>
      <w:proofErr w:type="spellEnd"/>
      <w:r w:rsidRPr="00C73CDA">
        <w:rPr>
          <w:sz w:val="28"/>
          <w:szCs w:val="28"/>
        </w:rPr>
        <w:t xml:space="preserve"> оказана на сумму 11090,0 тыс. руб. в виде субсидий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услуг). </w:t>
      </w:r>
      <w:proofErr w:type="gramStart"/>
      <w:r w:rsidRPr="00C73CDA">
        <w:rPr>
          <w:sz w:val="28"/>
          <w:szCs w:val="28"/>
        </w:rPr>
        <w:t xml:space="preserve">(Поддержка оказана следующим </w:t>
      </w:r>
      <w:proofErr w:type="spellStart"/>
      <w:r w:rsidRPr="00C73CDA">
        <w:rPr>
          <w:sz w:val="28"/>
          <w:szCs w:val="28"/>
        </w:rPr>
        <w:t>СМиСП</w:t>
      </w:r>
      <w:proofErr w:type="spellEnd"/>
      <w:r w:rsidRPr="00C73CDA">
        <w:rPr>
          <w:sz w:val="28"/>
          <w:szCs w:val="28"/>
        </w:rPr>
        <w:t xml:space="preserve">: 1340,0 тыс. руб. ИП </w:t>
      </w:r>
      <w:proofErr w:type="spellStart"/>
      <w:r w:rsidRPr="00C73CDA">
        <w:rPr>
          <w:sz w:val="28"/>
          <w:szCs w:val="28"/>
        </w:rPr>
        <w:t>Алимурадову</w:t>
      </w:r>
      <w:proofErr w:type="spellEnd"/>
      <w:r w:rsidRPr="00C73CDA">
        <w:rPr>
          <w:sz w:val="28"/>
          <w:szCs w:val="28"/>
        </w:rPr>
        <w:t xml:space="preserve"> </w:t>
      </w:r>
      <w:proofErr w:type="spellStart"/>
      <w:r w:rsidRPr="00C73CDA">
        <w:rPr>
          <w:sz w:val="28"/>
          <w:szCs w:val="28"/>
        </w:rPr>
        <w:t>Гаджимураду</w:t>
      </w:r>
      <w:proofErr w:type="spellEnd"/>
      <w:r w:rsidRPr="00C73CDA">
        <w:rPr>
          <w:sz w:val="28"/>
          <w:szCs w:val="28"/>
        </w:rPr>
        <w:t xml:space="preserve"> </w:t>
      </w:r>
      <w:proofErr w:type="spellStart"/>
      <w:r w:rsidRPr="00C73CDA">
        <w:rPr>
          <w:sz w:val="28"/>
          <w:szCs w:val="28"/>
        </w:rPr>
        <w:t>Агамагомедовичу</w:t>
      </w:r>
      <w:proofErr w:type="spellEnd"/>
      <w:r w:rsidRPr="00C73CDA">
        <w:rPr>
          <w:sz w:val="28"/>
          <w:szCs w:val="28"/>
        </w:rPr>
        <w:t xml:space="preserve">, 700,0 тыс. руб.  ИП Богданову Игорю Юрьевичу, 1000,0 тыс. руб.  ООО «Лес Сервис»,  3000,0 тыс. руб. ИП </w:t>
      </w:r>
      <w:proofErr w:type="spellStart"/>
      <w:r w:rsidRPr="00C73CDA">
        <w:rPr>
          <w:sz w:val="28"/>
          <w:szCs w:val="28"/>
        </w:rPr>
        <w:t>Мастюгину</w:t>
      </w:r>
      <w:proofErr w:type="spellEnd"/>
      <w:r w:rsidRPr="00C73CDA">
        <w:rPr>
          <w:sz w:val="28"/>
          <w:szCs w:val="28"/>
        </w:rPr>
        <w:t xml:space="preserve"> С.В., 3000,0 тыс. руб. ИП </w:t>
      </w:r>
      <w:proofErr w:type="spellStart"/>
      <w:r w:rsidRPr="00C73CDA">
        <w:rPr>
          <w:sz w:val="28"/>
          <w:szCs w:val="28"/>
        </w:rPr>
        <w:t>Радионову</w:t>
      </w:r>
      <w:proofErr w:type="spellEnd"/>
      <w:r w:rsidRPr="00C73CDA">
        <w:rPr>
          <w:sz w:val="28"/>
          <w:szCs w:val="28"/>
        </w:rPr>
        <w:t xml:space="preserve"> М.В., 2000,0 тыс. руб. ИП </w:t>
      </w:r>
      <w:proofErr w:type="spellStart"/>
      <w:r w:rsidRPr="00C73CDA">
        <w:rPr>
          <w:sz w:val="28"/>
          <w:szCs w:val="28"/>
        </w:rPr>
        <w:t>Прокушеву</w:t>
      </w:r>
      <w:proofErr w:type="spellEnd"/>
      <w:r w:rsidRPr="00C73CDA">
        <w:rPr>
          <w:sz w:val="28"/>
          <w:szCs w:val="28"/>
        </w:rPr>
        <w:t xml:space="preserve"> И.А., 50,0 тыс. руб. ИП Кузнецову И.М.).</w:t>
      </w:r>
      <w:proofErr w:type="gramEnd"/>
    </w:p>
    <w:p w:rsidR="00C73CDA" w:rsidRPr="00C73CDA" w:rsidRDefault="00C73CDA" w:rsidP="00C73CDA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C73CDA">
        <w:rPr>
          <w:sz w:val="28"/>
          <w:szCs w:val="28"/>
        </w:rPr>
        <w:t xml:space="preserve">В рамках Народного бюджета в текущем году реализуются 2 проекта в сфере агропромышленного комплекса: проект ИП </w:t>
      </w:r>
      <w:proofErr w:type="spellStart"/>
      <w:r w:rsidRPr="00C73CDA">
        <w:rPr>
          <w:sz w:val="28"/>
          <w:szCs w:val="28"/>
        </w:rPr>
        <w:t>Вологжаниной</w:t>
      </w:r>
      <w:proofErr w:type="spellEnd"/>
      <w:r w:rsidRPr="00C73CDA">
        <w:rPr>
          <w:sz w:val="28"/>
          <w:szCs w:val="28"/>
        </w:rPr>
        <w:t xml:space="preserve"> Анастасии Михайловны «Организация переработки дикорастущих трав и ягод (чай, варенье)» в д. Малый </w:t>
      </w:r>
      <w:proofErr w:type="spellStart"/>
      <w:r w:rsidRPr="00C73CDA">
        <w:rPr>
          <w:sz w:val="28"/>
          <w:szCs w:val="28"/>
        </w:rPr>
        <w:t>Аныб</w:t>
      </w:r>
      <w:proofErr w:type="spellEnd"/>
      <w:r w:rsidRPr="00C73CDA">
        <w:rPr>
          <w:sz w:val="28"/>
          <w:szCs w:val="28"/>
        </w:rPr>
        <w:t xml:space="preserve"> и проект ИП </w:t>
      </w:r>
      <w:proofErr w:type="spellStart"/>
      <w:r w:rsidRPr="00C73CDA">
        <w:rPr>
          <w:sz w:val="28"/>
          <w:szCs w:val="28"/>
        </w:rPr>
        <w:t>Морохина</w:t>
      </w:r>
      <w:proofErr w:type="spellEnd"/>
      <w:r w:rsidRPr="00C73CDA">
        <w:rPr>
          <w:sz w:val="28"/>
          <w:szCs w:val="28"/>
        </w:rPr>
        <w:t xml:space="preserve"> Юрия Андреевича «Мини хлебопекарня в селе Нижний </w:t>
      </w:r>
      <w:proofErr w:type="spellStart"/>
      <w:r w:rsidRPr="00C73CDA">
        <w:rPr>
          <w:sz w:val="28"/>
          <w:szCs w:val="28"/>
        </w:rPr>
        <w:t>Воч</w:t>
      </w:r>
      <w:proofErr w:type="spellEnd"/>
      <w:r w:rsidRPr="00C73CDA">
        <w:rPr>
          <w:sz w:val="28"/>
          <w:szCs w:val="28"/>
        </w:rPr>
        <w:t>». В настоящее время оборудование в рамках данных проектов приобретено, производится монтаж частично доставленного оборудования, а также завершаются ремонтные работы производственных помещений.</w:t>
      </w:r>
    </w:p>
    <w:p w:rsidR="001F5ACC" w:rsidRDefault="00C73CDA" w:rsidP="00C73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3CDA">
        <w:rPr>
          <w:sz w:val="28"/>
          <w:szCs w:val="28"/>
        </w:rPr>
        <w:t xml:space="preserve">На реализацию данных проектов предоставлена субсидия в размере 2532,0 тыс. руб., из них ИП </w:t>
      </w:r>
      <w:proofErr w:type="spellStart"/>
      <w:r w:rsidRPr="00C73CDA">
        <w:rPr>
          <w:sz w:val="28"/>
          <w:szCs w:val="28"/>
        </w:rPr>
        <w:t>Морохину</w:t>
      </w:r>
      <w:proofErr w:type="spellEnd"/>
      <w:r w:rsidRPr="00C73CDA">
        <w:rPr>
          <w:sz w:val="28"/>
          <w:szCs w:val="28"/>
        </w:rPr>
        <w:t xml:space="preserve"> Ю.А. – 1730,0 тыс. руб., ИП </w:t>
      </w:r>
      <w:proofErr w:type="spellStart"/>
      <w:r w:rsidRPr="00C73CDA">
        <w:rPr>
          <w:sz w:val="28"/>
          <w:szCs w:val="28"/>
        </w:rPr>
        <w:t>Вологжаниной</w:t>
      </w:r>
      <w:proofErr w:type="spellEnd"/>
      <w:r w:rsidRPr="00C73CDA">
        <w:rPr>
          <w:sz w:val="28"/>
          <w:szCs w:val="28"/>
        </w:rPr>
        <w:t xml:space="preserve"> А.М. 802,0 тыс. руб., в том числе из республиканского бюджета 2200,0 тыс. руб., из районного бюджета 332,0 тыс. руб.</w:t>
      </w:r>
    </w:p>
    <w:tbl>
      <w:tblPr>
        <w:tblW w:w="9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2125"/>
        <w:gridCol w:w="2410"/>
        <w:gridCol w:w="1425"/>
      </w:tblGrid>
      <w:tr w:rsidR="007000C3" w:rsidRPr="00652D09" w:rsidTr="00C03E00">
        <w:trPr>
          <w:cantSplit/>
        </w:trPr>
        <w:tc>
          <w:tcPr>
            <w:tcW w:w="3120" w:type="dxa"/>
            <w:vAlign w:val="bottom"/>
          </w:tcPr>
          <w:p w:rsidR="007000C3" w:rsidRDefault="007000C3" w:rsidP="00C03E00">
            <w:pPr>
              <w:pStyle w:val="6-3"/>
              <w:spacing w:before="80" w:after="80"/>
              <w:jc w:val="left"/>
              <w:rPr>
                <w:snapToGrid w:val="0"/>
              </w:rPr>
            </w:pPr>
          </w:p>
        </w:tc>
        <w:tc>
          <w:tcPr>
            <w:tcW w:w="2125" w:type="dxa"/>
            <w:vAlign w:val="bottom"/>
          </w:tcPr>
          <w:p w:rsidR="007000C3" w:rsidRDefault="007000C3" w:rsidP="00C03E00">
            <w:pPr>
              <w:spacing w:before="80" w:after="80"/>
              <w:ind w:right="567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vAlign w:val="bottom"/>
          </w:tcPr>
          <w:p w:rsidR="007000C3" w:rsidRPr="00652D09" w:rsidRDefault="007000C3" w:rsidP="00C03E00">
            <w:pPr>
              <w:pStyle w:val="7"/>
              <w:spacing w:before="80" w:after="80"/>
              <w:ind w:right="851"/>
              <w:jc w:val="right"/>
              <w:rPr>
                <w:rFonts w:ascii="Arial" w:hAnsi="Arial" w:cs="Arial"/>
              </w:rPr>
            </w:pPr>
          </w:p>
        </w:tc>
        <w:tc>
          <w:tcPr>
            <w:tcW w:w="1425" w:type="dxa"/>
            <w:vAlign w:val="bottom"/>
          </w:tcPr>
          <w:p w:rsidR="007000C3" w:rsidRPr="00652D09" w:rsidRDefault="007000C3" w:rsidP="00C03E00">
            <w:pPr>
              <w:pStyle w:val="7"/>
              <w:spacing w:before="80" w:after="80"/>
              <w:ind w:right="454"/>
              <w:jc w:val="right"/>
              <w:rPr>
                <w:rFonts w:ascii="Arial" w:hAnsi="Arial" w:cs="Arial"/>
              </w:rPr>
            </w:pPr>
          </w:p>
        </w:tc>
      </w:tr>
    </w:tbl>
    <w:p w:rsidR="00DE1453" w:rsidRDefault="00DE1453"/>
    <w:sectPr w:rsidR="00DE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000C3"/>
    <w:rsid w:val="001F5ACC"/>
    <w:rsid w:val="007000C3"/>
    <w:rsid w:val="00C73CDA"/>
    <w:rsid w:val="00DE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-3">
    <w:name w:val="6.Табл.-3уровень"/>
    <w:basedOn w:val="a"/>
    <w:qFormat/>
    <w:rsid w:val="007000C3"/>
    <w:pPr>
      <w:keepLines/>
      <w:widowControl w:val="0"/>
      <w:suppressLineNumbers/>
      <w:spacing w:after="0" w:line="240" w:lineRule="auto"/>
      <w:ind w:left="567" w:right="57" w:hanging="17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">
    <w:name w:val="7.Данные таблицы"/>
    <w:rsid w:val="007000C3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4.Заголовок таблицы"/>
    <w:basedOn w:val="a"/>
    <w:next w:val="a"/>
    <w:qFormat/>
    <w:rsid w:val="007000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6-1">
    <w:name w:val="6.Табл.-1уровень"/>
    <w:basedOn w:val="a"/>
    <w:link w:val="6-10"/>
    <w:qFormat/>
    <w:rsid w:val="001F5ACC"/>
    <w:pPr>
      <w:keepLines/>
      <w:widowControl w:val="0"/>
      <w:suppressLineNumbers/>
      <w:spacing w:before="20" w:after="0" w:line="240" w:lineRule="auto"/>
      <w:ind w:left="227" w:right="57" w:hanging="17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-">
    <w:name w:val="5.Табл.-шапка"/>
    <w:basedOn w:val="6-1"/>
    <w:qFormat/>
    <w:rsid w:val="001F5ACC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2">
    <w:name w:val="6.Табл.-2уровень"/>
    <w:basedOn w:val="6-1"/>
    <w:link w:val="6-20"/>
    <w:qFormat/>
    <w:rsid w:val="001F5ACC"/>
    <w:pPr>
      <w:spacing w:before="0"/>
      <w:ind w:left="397"/>
      <w:jc w:val="left"/>
    </w:pPr>
  </w:style>
  <w:style w:type="paragraph" w:customStyle="1" w:styleId="6-">
    <w:name w:val="6.Табл.-данные"/>
    <w:qFormat/>
    <w:rsid w:val="001F5ACC"/>
    <w:pPr>
      <w:widowControl w:val="0"/>
      <w:spacing w:after="0" w:line="240" w:lineRule="auto"/>
      <w:ind w:right="113"/>
      <w:jc w:val="right"/>
    </w:pPr>
    <w:rPr>
      <w:rFonts w:ascii="Arial" w:eastAsia="Times New Roman" w:hAnsi="Arial" w:cs="Arial"/>
      <w:noProof/>
      <w:sz w:val="20"/>
      <w:szCs w:val="20"/>
    </w:rPr>
  </w:style>
  <w:style w:type="character" w:customStyle="1" w:styleId="6-20">
    <w:name w:val="6.Табл.-2уровень Знак"/>
    <w:link w:val="6-2"/>
    <w:rsid w:val="001F5ACC"/>
    <w:rPr>
      <w:rFonts w:ascii="Arial" w:eastAsia="Times New Roman" w:hAnsi="Arial" w:cs="Times New Roman"/>
      <w:sz w:val="20"/>
      <w:szCs w:val="24"/>
    </w:rPr>
  </w:style>
  <w:style w:type="character" w:customStyle="1" w:styleId="6-10">
    <w:name w:val="6.Табл.-1уровень Знак"/>
    <w:link w:val="6-1"/>
    <w:locked/>
    <w:rsid w:val="001F5ACC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Econom2</cp:lastModifiedBy>
  <cp:revision>3</cp:revision>
  <dcterms:created xsi:type="dcterms:W3CDTF">2025-02-17T09:09:00Z</dcterms:created>
  <dcterms:modified xsi:type="dcterms:W3CDTF">2025-02-17T09:34:00Z</dcterms:modified>
</cp:coreProperties>
</file>