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287"/>
        <w:gridCol w:w="143"/>
        <w:gridCol w:w="430"/>
        <w:gridCol w:w="3152"/>
        <w:gridCol w:w="430"/>
        <w:gridCol w:w="430"/>
        <w:gridCol w:w="143"/>
        <w:gridCol w:w="287"/>
        <w:gridCol w:w="716"/>
        <w:gridCol w:w="287"/>
        <w:gridCol w:w="429"/>
        <w:gridCol w:w="574"/>
        <w:gridCol w:w="143"/>
        <w:gridCol w:w="716"/>
        <w:gridCol w:w="430"/>
        <w:gridCol w:w="287"/>
        <w:gridCol w:w="286"/>
        <w:gridCol w:w="430"/>
        <w:gridCol w:w="143"/>
        <w:gridCol w:w="1147"/>
        <w:gridCol w:w="859"/>
        <w:gridCol w:w="287"/>
        <w:gridCol w:w="1003"/>
        <w:gridCol w:w="143"/>
        <w:gridCol w:w="430"/>
        <w:gridCol w:w="716"/>
        <w:gridCol w:w="860"/>
        <w:gridCol w:w="287"/>
      </w:tblGrid>
      <w:tr w:rsidR="00A344E5">
        <w:trPr>
          <w:trHeight w:hRule="exact" w:val="1003"/>
        </w:trPr>
        <w:tc>
          <w:tcPr>
            <w:tcW w:w="15618" w:type="dxa"/>
            <w:gridSpan w:val="29"/>
          </w:tcPr>
          <w:p w:rsidR="00A344E5" w:rsidRDefault="00A344E5">
            <w:bookmarkStart w:id="0" w:name="_GoBack"/>
            <w:bookmarkEnd w:id="0"/>
          </w:p>
        </w:tc>
      </w:tr>
      <w:tr w:rsidR="00A344E5">
        <w:trPr>
          <w:trHeight w:hRule="exact" w:val="387"/>
        </w:trPr>
        <w:tc>
          <w:tcPr>
            <w:tcW w:w="15618" w:type="dxa"/>
            <w:gridSpan w:val="29"/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A344E5">
        <w:trPr>
          <w:trHeight w:hRule="exact" w:val="43"/>
        </w:trPr>
        <w:tc>
          <w:tcPr>
            <w:tcW w:w="15618" w:type="dxa"/>
            <w:gridSpan w:val="29"/>
          </w:tcPr>
          <w:p w:rsidR="00A344E5" w:rsidRDefault="00A344E5"/>
        </w:tc>
      </w:tr>
      <w:tr w:rsidR="00A344E5">
        <w:trPr>
          <w:trHeight w:hRule="exact" w:val="387"/>
        </w:trPr>
        <w:tc>
          <w:tcPr>
            <w:tcW w:w="15618" w:type="dxa"/>
            <w:gridSpan w:val="29"/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A344E5">
        <w:trPr>
          <w:trHeight w:hRule="exact" w:val="43"/>
        </w:trPr>
        <w:tc>
          <w:tcPr>
            <w:tcW w:w="15618" w:type="dxa"/>
            <w:gridSpan w:val="29"/>
          </w:tcPr>
          <w:p w:rsidR="00A344E5" w:rsidRDefault="00A344E5"/>
        </w:tc>
      </w:tr>
      <w:tr w:rsidR="00A344E5">
        <w:trPr>
          <w:trHeight w:hRule="exact" w:val="644"/>
        </w:trPr>
        <w:tc>
          <w:tcPr>
            <w:tcW w:w="15618" w:type="dxa"/>
            <w:gridSpan w:val="29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Формирование системы мотивации граждан к здоровому образу жизни, включая здоровое питание и отказ от вредных привычек  (Республика Коми)</w:t>
            </w:r>
          </w:p>
        </w:tc>
      </w:tr>
      <w:tr w:rsidR="00A344E5">
        <w:trPr>
          <w:trHeight w:hRule="exact" w:val="717"/>
        </w:trPr>
        <w:tc>
          <w:tcPr>
            <w:tcW w:w="15618" w:type="dxa"/>
            <w:gridSpan w:val="2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A344E5">
        <w:trPr>
          <w:trHeight w:hRule="exact" w:val="716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федерального проекта</w:t>
            </w:r>
          </w:p>
        </w:tc>
        <w:tc>
          <w:tcPr>
            <w:tcW w:w="11033" w:type="dxa"/>
            <w:gridSpan w:val="2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A344E5">
        <w:trPr>
          <w:trHeight w:hRule="exact" w:val="717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 (Республика Коми)</w:t>
            </w:r>
          </w:p>
        </w:tc>
        <w:tc>
          <w:tcPr>
            <w:tcW w:w="257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18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A344E5">
        <w:trPr>
          <w:trHeight w:hRule="exact" w:val="974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И.В.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 – министр труда, занятости и социальной защиты Республики Коми</w:t>
            </w:r>
          </w:p>
        </w:tc>
      </w:tr>
      <w:tr w:rsidR="00A344E5">
        <w:trPr>
          <w:trHeight w:hRule="exact" w:val="573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Б.А.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</w:tr>
      <w:tr w:rsidR="00A344E5">
        <w:trPr>
          <w:trHeight w:hRule="exact" w:val="573"/>
        </w:trPr>
        <w:tc>
          <w:tcPr>
            <w:tcW w:w="458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72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В.Е.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</w:tr>
      <w:tr w:rsidR="00A344E5">
        <w:trPr>
          <w:trHeight w:hRule="exact" w:val="717"/>
        </w:trPr>
        <w:tc>
          <w:tcPr>
            <w:tcW w:w="458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A344E5">
        <w:trPr>
          <w:trHeight w:hRule="exact" w:val="974"/>
        </w:trPr>
        <w:tc>
          <w:tcPr>
            <w:tcW w:w="458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429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</w:tc>
        <w:tc>
          <w:tcPr>
            <w:tcW w:w="63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bottom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</w:tr>
      <w:tr w:rsidR="00A344E5">
        <w:trPr>
          <w:trHeight w:hRule="exact" w:val="143"/>
        </w:trPr>
        <w:tc>
          <w:tcPr>
            <w:tcW w:w="143" w:type="dxa"/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  <w:tc>
          <w:tcPr>
            <w:tcW w:w="860" w:type="dxa"/>
            <w:gridSpan w:val="3"/>
            <w:shd w:val="clear" w:color="auto" w:fill="auto"/>
          </w:tcPr>
          <w:p w:rsidR="00A344E5" w:rsidRDefault="007D6BD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615" w:type="dxa"/>
            <w:gridSpan w:val="25"/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344E5">
        <w:trPr>
          <w:trHeight w:hRule="exact" w:val="287"/>
        </w:trPr>
        <w:tc>
          <w:tcPr>
            <w:tcW w:w="14471" w:type="dxa"/>
            <w:gridSpan w:val="27"/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Цель и показатели регионального проекта</w:t>
            </w:r>
          </w:p>
        </w:tc>
        <w:tc>
          <w:tcPr>
            <w:tcW w:w="860" w:type="dxa"/>
            <w:shd w:val="clear" w:color="auto" w:fill="auto"/>
          </w:tcPr>
          <w:p w:rsidR="00A344E5" w:rsidRDefault="007D6BD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1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344E5">
        <w:trPr>
          <w:trHeight w:hRule="exact" w:val="143"/>
        </w:trPr>
        <w:tc>
          <w:tcPr>
            <w:tcW w:w="15618" w:type="dxa"/>
            <w:gridSpan w:val="2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344E5">
        <w:trPr>
          <w:trHeight w:hRule="exact" w:val="1762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мотивации граждан к здоровому образу жизни, включая здоровое питание и отказ от вредных привычек. Обеспечение к 2024 году увеличения доли граждан, ведущих здоровый образ жизни, за счет формирования среды, способствующей ведению граждан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ами здорового образа жизни, включая здоровое питание (в том числе ликвидацию микронутриентной недостаточности, сокращение потребления соли и сахара), защиту от табачного дыма, снижение потребления алкоголя; а также за счет мотивирования граждан к ведению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дорового образа жизни посредством информационно-коммуникационной кампании,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 (Республика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ми)</w:t>
            </w:r>
          </w:p>
        </w:tc>
      </w:tr>
      <w:tr w:rsidR="00A344E5">
        <w:trPr>
          <w:trHeight w:hRule="exact" w:val="573"/>
        </w:trPr>
        <w:tc>
          <w:tcPr>
            <w:tcW w:w="43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4728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показателя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 измерения (по ОКЕИ)</w:t>
            </w:r>
          </w:p>
        </w:tc>
        <w:tc>
          <w:tcPr>
            <w:tcW w:w="22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87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</w:tr>
      <w:tr w:rsidR="00A344E5">
        <w:trPr>
          <w:trHeight w:hRule="exact" w:val="573"/>
        </w:trPr>
        <w:tc>
          <w:tcPr>
            <w:tcW w:w="43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4728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29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</w:tr>
      <w:tr w:rsidR="00A344E5">
        <w:trPr>
          <w:trHeight w:hRule="exact" w:val="1247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10,1000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31.12.2016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9,8000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9,6000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9,4000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9,3000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9,2000</w:t>
            </w:r>
          </w:p>
        </w:tc>
      </w:tr>
      <w:tr w:rsidR="00A344E5">
        <w:trPr>
          <w:trHeight w:hRule="exact" w:val="974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женщин в возрасте  16-54 лет 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100 тысяч человек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259,3000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253,9000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250,1000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246,4000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242,7000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237,8000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232,8000</w:t>
            </w:r>
          </w:p>
        </w:tc>
      </w:tr>
      <w:tr w:rsidR="00A344E5">
        <w:trPr>
          <w:trHeight w:hRule="exact" w:val="975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мужчин в возрасте  16-59 лет 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100 тысяч человек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899,7000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834,0000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792,5000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750,9000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715,4000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684,8000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649,0000</w:t>
            </w:r>
          </w:p>
        </w:tc>
      </w:tr>
      <w:tr w:rsidR="00A344E5">
        <w:trPr>
          <w:trHeight w:hRule="exact" w:val="716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сигарет и папирос на душу населения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штук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2,0500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1,9500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1,9000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1,8500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1,8000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1,7500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1,7000</w:t>
            </w:r>
          </w:p>
        </w:tc>
      </w:tr>
      <w:tr w:rsidR="00A344E5">
        <w:trPr>
          <w:trHeight w:hRule="exact" w:val="716"/>
        </w:trPr>
        <w:tc>
          <w:tcPr>
            <w:tcW w:w="4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472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Обращаемость в медицинские организации по вопросам здорового образа жизни</w:t>
            </w:r>
          </w:p>
        </w:tc>
        <w:tc>
          <w:tcPr>
            <w:tcW w:w="1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2,5000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31.12.2017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3,1000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3,4000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3,7000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4,0000</w:t>
            </w:r>
          </w:p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4,2000</w:t>
            </w:r>
          </w:p>
        </w:tc>
        <w:tc>
          <w:tcPr>
            <w:tcW w:w="11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4,5000</w:t>
            </w:r>
          </w:p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</w:tr>
      <w:tr w:rsidR="00A344E5">
        <w:trPr>
          <w:trHeight w:hRule="exact" w:val="573"/>
        </w:trPr>
        <w:tc>
          <w:tcPr>
            <w:tcW w:w="15618" w:type="dxa"/>
            <w:gridSpan w:val="2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Задачи и результаты регионального проекта</w:t>
            </w:r>
          </w:p>
        </w:tc>
      </w:tr>
      <w:tr w:rsidR="00A344E5">
        <w:trPr>
          <w:trHeight w:hRule="exact" w:val="573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задачи, результата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 измерения (по ОКЕИ)</w:t>
            </w:r>
          </w:p>
        </w:tc>
        <w:tc>
          <w:tcPr>
            <w:tcW w:w="429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</w:tr>
      <w:tr w:rsidR="00A344E5">
        <w:trPr>
          <w:trHeight w:hRule="exact" w:val="57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Задача национального проекта (справочно из паспорта федерального проекта): 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344E5" w:rsidRDefault="00A344E5"/>
        </w:tc>
      </w:tr>
      <w:tr w:rsidR="00A344E5">
        <w:trPr>
          <w:trHeight w:hRule="exact" w:val="2464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 всех (85) субъектах Российской Федерации органами исполнительной власти субъектов Российской Федерации и органами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местного самоуправления с организационно-методическим сопровождением НМИЦ профилактической медицины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Минздрава России будет осуществлено внедрение новой модели организации и функционирования центров общественного здоровья, включая создание центров обществен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ного здоровья, внедрение новой учетно-отчетной документации.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Оказание услуг (выполнение работ)</w:t>
            </w:r>
          </w:p>
          <w:p w:rsidR="00A344E5" w:rsidRDefault="00A344E5"/>
        </w:tc>
      </w:tr>
      <w:tr w:rsidR="00A344E5">
        <w:trPr>
          <w:trHeight w:hRule="exact" w:val="246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2350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344E5" w:rsidRDefault="00A344E5"/>
        </w:tc>
      </w:tr>
      <w:tr w:rsidR="00A344E5">
        <w:trPr>
          <w:trHeight w:hRule="exact" w:val="429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необходимость для работодателей внедрять корпоративные программы по укреплению здоровья работников. 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го страхования Российской Федерации будет проведена информационно-разъяснительная работа с работодателями в целях внедрения корпоративных программ по укреплению здоровья работников. Работодателями будут проведены мероприятия,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указанные в корпоративных прог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раммах,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жизни, отказа от курения и употребления алкогольных нап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итков, перехода на здоровое питание. Примеры наилучших результатов по проведению 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99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99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</w:tr>
      <w:tr w:rsidR="00A344E5">
        <w:trPr>
          <w:trHeight w:hRule="exact" w:val="2550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Муниципальные образования внедрили муниципальные программы общественного здоровья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общественного зд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оровья (нарастающим итогом), предусмотрено соответствующее финансирование.В соответствии с данными программами будет продолжена реализация мероприятий по снижению действия основных факторов риска НИЗ, первичной профилактике заболеваний полости рта, а также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мероприятий, направленных на профилактику заболеваний репродуктивной сферы у мужчин.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Оказание услуг (выполнение работ)</w:t>
            </w:r>
          </w:p>
          <w:p w:rsidR="00A344E5" w:rsidRDefault="00A344E5"/>
        </w:tc>
      </w:tr>
      <w:tr w:rsidR="00A344E5">
        <w:trPr>
          <w:trHeight w:hRule="exact" w:val="209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2078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29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A344E5">
        <w:trPr>
          <w:trHeight w:hRule="exact" w:val="301"/>
        </w:trPr>
        <w:tc>
          <w:tcPr>
            <w:tcW w:w="15618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808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A344E5" w:rsidRDefault="00A344E5"/>
        </w:tc>
      </w:tr>
      <w:tr w:rsidR="00A344E5">
        <w:trPr>
          <w:trHeight w:hRule="exact" w:val="2293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первичного центра общественного здоровья на базе 1 центра здоровья в ГБУЗ РК «Воркутинская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A344E5" w:rsidRDefault="00A344E5"/>
        </w:tc>
      </w:tr>
      <w:tr w:rsidR="00A344E5">
        <w:trPr>
          <w:trHeight w:hRule="exact" w:val="2808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внедрение модели организации и функционирования первичного центра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НПА Субъекта РФ</w:t>
            </w:r>
          </w:p>
          <w:p w:rsidR="00A344E5" w:rsidRDefault="00A344E5"/>
        </w:tc>
      </w:tr>
      <w:tr w:rsidR="00A344E5">
        <w:trPr>
          <w:trHeight w:hRule="exact" w:val="1504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реализующим проекты по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некоммерческим организациям, 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проекты по формированию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иверженности здоровому образу жизни. 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 Провед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 Наилучшие проекты, ставшие победителями конкурса, размещены на официальном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сайте Министерства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дравоохранения Республики Коми. Внедрены рекомендации по наилучшим практикам реализации волонтерства в сфере охраны здоровья. Направлено информационное письмо в муниципальные образования и медицинские организации Республики Коми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75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273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361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некоммерческим организациям,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предоставление субсидий 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 Коми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некоммерческим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реализующим проекты по формированию приверженности здоровому образу жизни. 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изни, утвержденное приказом Минздрава России. 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жизни. Наилучшие проекты, ставшие победителями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курса,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размещены на официальном сайте Министерства здравоохранения Республики Коми. Внедрены рекомендации по наилучшим практикам реализации волонтерства в сфере охраны здоровья. Направлено информационное письмо в муниципальные образования и медицинские орг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анизации Республики Коми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86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448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43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104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предоставление субсидий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регламентирующий 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</w:tr>
      <w:tr w:rsidR="00A344E5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здравоохранения Республики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Коми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предоставление субсидий некоммерческим организациям, реализующим проекты по формированию приверженности здоровому образу жизни. Принято к исполнению положение о конкурсе по предоставлению субсидий некоммерческим организациям, реализующим прое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кты по формированию приверженности здоровому образу жизни, утвержденное приказом Минздрава России. Проведен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зу жизни. Наилучшие проекты, ставшие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победителями конкурса, размещены на официальном сайте Министерства здравоохранения Республики Коми. Внедрены рекомендации по наилучшим практикам реализации волонтерства в сфере охраны здоровья. Направлено информационное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письмо в муниципальные образования и медицинские организации Республики Коми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57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57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831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по отбору проектов на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нормативный правовой акт, 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Утверждение документа</w:t>
            </w:r>
          </w:p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</w:tr>
      <w:tr w:rsidR="00A344E5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 сайте Министерства зд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равоохранения Республики Коми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регламентирующий предоставление субсидий некоммерческим организациям, реализующим проекты по формированию приверженности здоровому образу жизни. Принято к исполнению положение о конкурсе по предоставлению субсидий неко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ммерческим организациям, реализующим проекты по формированию приверженности здоровому образу жизни, утвержденное приказом Минздрава России. Проведен конкурс по отбору проектов на предоставление субсидий некоммерческим организациям, реализующим проекты по 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ормированию приверженности здоровому образу жизни.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Наилучшие проекты, ставшие победителями конкурса, размещены на официальном сайте Министерства здравоохранения Республики Коми. Внедрены рекомендации по наилучшим практикам реализации волонтерства в сфере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храны здоровья. Направлено информационное письмо в муниципальные образования и медицинские организации Республики Коми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70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70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573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Проведен ежегодный конкурс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 к исполнению 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Утверждение </w:t>
            </w:r>
          </w:p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наилучшие проекты на официальном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сайте Министерства здравоохранения Республики Коми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нормативный правовой акт, регламентирующий предоставление субсидий некоммерческим организациям, реализующим проекты по формированию приверженности здоровому образу жизни. Принято к исполнению поло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 Проведен конкурс по отбору проектов на предоставление субсидий неком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мерческим организациям, реализующим проекты по формированию приверженности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здоровому образу жизни. Наилучшие проекты, ставшие победителями конкурса, размещены на официальном сайте Министерства здравоохранения Республики Коми. Внедрены рекомендации по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чшим практикам реализации волонтерства в сфере охраны здоровья. Направлено информационное письмо в муниципальные образования и медицинские организации Республики Коми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документа</w:t>
            </w:r>
          </w:p>
          <w:p w:rsidR="00A344E5" w:rsidRDefault="00A344E5"/>
        </w:tc>
      </w:tr>
      <w:tr w:rsidR="00A344E5">
        <w:trPr>
          <w:trHeight w:hRule="exact" w:val="286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848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83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301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чшие проекты на официальном сайте Министерства здравоохранения Республики Коми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Принят к исполнению нормативный правовой акт, регламентирующий предоставление субсидий некоммерческим организациям, реализующим проекты по формированию приверженност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здоровому образу жизни. Принято к исполнению положение о конкурсе по предоставлению субсидий некоммерческим организациям, реализующим проекты по формированию приверженности здоровому образу жизни, утвержденное приказом Минздрава России. Проведен конкурс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отбору проектов на предоставление субсидий некоммерческим организациям, реализующим проекты по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формированию приверженности здоровому образу жизни. Наилучшие проекты, ставшие победителями конкурса, размещены на официальном сайте Министерства здравоохране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Республики Коми. Внедрены рекомендации по наилучшим практикам реализации волонтерства в сфере охраны здоровья. Направлено информационное письмо в муниципальные образования и медицинские организации Республики Коми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Утверждение документа</w:t>
            </w:r>
          </w:p>
          <w:p w:rsidR="00A344E5" w:rsidRDefault="00A344E5"/>
        </w:tc>
      </w:tr>
      <w:tr w:rsidR="00A344E5">
        <w:trPr>
          <w:trHeight w:hRule="exact" w:val="286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978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963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43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429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направлениями информационно-коммуникационной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пропаганда ответственного отношения к репродуктивному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доровью, в том числе профилактика абортов, и повышение приверженности вакцинации. 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нно-коммуникационной кампании. Подведены промежуточные итоги информационно-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Отчет</w:t>
            </w:r>
          </w:p>
          <w:p w:rsidR="00A344E5" w:rsidRDefault="00A344E5"/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99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99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</w:tr>
      <w:tr w:rsidR="00A344E5">
        <w:trPr>
          <w:trHeight w:hRule="exact" w:val="2550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направлениями информационно-коммуникационно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здоровью, в том числе профилактика абортов, и повышение приверженности вакцинации. 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Отчет</w:t>
            </w:r>
          </w:p>
          <w:p w:rsidR="00A344E5" w:rsidRDefault="00A344E5"/>
        </w:tc>
      </w:tr>
      <w:tr w:rsidR="00A344E5">
        <w:trPr>
          <w:trHeight w:hRule="exact" w:val="214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214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</w:tr>
      <w:tr w:rsidR="00A344E5">
        <w:trPr>
          <w:trHeight w:hRule="exact" w:val="2593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 Подведены промежуточные итоги информационно-коммуни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59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2263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направлениями информационно-коммуникационно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 кампании являются: пропаганда сокращения потребления алкоголя; пропаганда 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A344E5" w:rsidRDefault="00A344E5"/>
        </w:tc>
      </w:tr>
      <w:tr w:rsidR="00A344E5">
        <w:trPr>
          <w:trHeight w:hRule="exact" w:val="226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нации. 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 Подведены промежуточные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итоги информационно-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реализации информационно-коммуникационной кампании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478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247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891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</w:t>
            </w:r>
          </w:p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сети «Интернет» 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основных телекоммуникационных каналов для всех целевых аудиторий. Основными направлениями информационно-коммуникационной кампании являются: пропаганда сокращения потребления алкоголя; пропаганда сокращения потребления табака, а также иных фо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рм потребления никотина; пропаганда ответственного отношения к рациону питания; пропаганда ответственного отношения к репродуктивному здоровью, в том числе профилактика абортов, и повышение приверженности вакцинации. Проведена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информационно-коммуникационна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кампания с использованием основных телекоммуникационных каналов для всех целевых аудиторий. Представлен отчет о проведении информационно-коммуникационной кампании. Подведены промежуточные итоги информационно-коммуникационной кампании с использованием осн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овных телекоммуникационных каналов для всех целевых аудиторий. Представлен промежуточный отчет о 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99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992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</w:tr>
      <w:tr w:rsidR="00A344E5">
        <w:trPr>
          <w:trHeight w:hRule="exact" w:val="974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подведенных итогах реализации информационно-коммуникационной кампании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286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направлениями информационно-коммуникационно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 кампании являются: пропаганда сокращения потребления алкоголя; пропаганда сокращения потребления табака, а также иных форм потребления никотина; пропаганда ответственного отношения к рациону питания;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пропаганда ответственного отношения к репродуктивному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здоровью, в том числе профилактика абортов, и повышение приверженности вакцинации. 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Отчет</w:t>
            </w:r>
          </w:p>
          <w:p w:rsidR="00A344E5" w:rsidRDefault="00A344E5"/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504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50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</w:tr>
      <w:tr w:rsidR="00A344E5">
        <w:trPr>
          <w:trHeight w:hRule="exact" w:val="1805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проведении информационно-коммуникационной кампании. 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реализации информационно-коммуникационной кампании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1805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Адаптированы и распространены рекламно-информационные материалы для проведения информационно-коммуникационной кампании с использованием основных телекоммуникационных каналов для всех целевых аудиторий. Основными направлениями информационно-коммуникационно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 кампании являются: пропаганда сокращения потребления алкоголя; пропаганда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сокращения потребления табака, а также иных форм потребления никотина; пропаганда ответственного отношения к рациону питания; пропаганда ответственного отношения к 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Отчет</w:t>
            </w:r>
          </w:p>
          <w:p w:rsidR="00A344E5" w:rsidRDefault="00A344E5"/>
        </w:tc>
      </w:tr>
      <w:tr w:rsidR="00A344E5">
        <w:trPr>
          <w:trHeight w:hRule="exact" w:val="161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619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репродуктивному здоровью, в том числе профилактика абортов, и повышение приверженности вакцинации. Проведена информационно-коммуникационная кампания с использованием основных телекоммуникационных каналов для всех целевых аудиторий. Представлен отчет о пров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едении информационно-коммуникационной кампании. Подведены промежуточные итоги информационно-коммуникационной кампании с использованием основных телекоммуникационных каналов для всех целевых аудиторий. Представлен промежуточный отчет о подведенных итогах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ализации информационно-коммуникационной кампании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1690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691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1734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здорового образа жизни, физической культуры, спорта и здорового питания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2000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производства телевизионных и радиопрограмм, телевизионных документальных фильмов, направленных на пропаган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ду здорового образа жизни, физической культуры, спорта и 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Проведение информационно-коммуникационной кампании</w:t>
            </w:r>
          </w:p>
          <w:p w:rsidR="00A344E5" w:rsidRDefault="00A344E5"/>
        </w:tc>
      </w:tr>
      <w:tr w:rsidR="00A344E5">
        <w:trPr>
          <w:trHeight w:hRule="exact" w:val="1733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29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</w:tr>
      <w:tr w:rsidR="00A344E5">
        <w:trPr>
          <w:trHeight w:hRule="exact" w:val="1505"/>
        </w:trPr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здорового питания, создания в информационно-телекоммуникационной сети «Интернет» тематических Интернет-ресурсов.</w:t>
            </w:r>
          </w:p>
          <w:p w:rsidR="00A344E5" w:rsidRDefault="00A344E5"/>
        </w:tc>
        <w:tc>
          <w:tcPr>
            <w:tcW w:w="24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A344E5"/>
        </w:tc>
      </w:tr>
      <w:tr w:rsidR="00A344E5">
        <w:trPr>
          <w:trHeight w:hRule="exact" w:val="1676"/>
        </w:trPr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5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экземпляров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343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Управлением информационного обеспечения Администрации Главы Республики Коми в соответствии с установленным порядком оказана государственная поддержка периодическим печатным изданиям на реализацию проектов, направленных на пропаганду здорового образа жизни,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физической культуры, спорта и здорового питания.</w:t>
            </w:r>
          </w:p>
          <w:p w:rsidR="00A344E5" w:rsidRDefault="00A344E5"/>
        </w:tc>
        <w:tc>
          <w:tcPr>
            <w:tcW w:w="2436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A344E5" w:rsidRDefault="00A344E5"/>
        </w:tc>
      </w:tr>
      <w:tr w:rsidR="00A344E5">
        <w:trPr>
          <w:trHeight w:hRule="exact" w:val="1676"/>
        </w:trPr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58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43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4E5" w:rsidRDefault="00A344E5"/>
        </w:tc>
      </w:tr>
    </w:tbl>
    <w:p w:rsidR="00A344E5" w:rsidRDefault="00A344E5">
      <w:pPr>
        <w:sectPr w:rsidR="00A344E5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143"/>
        <w:gridCol w:w="4442"/>
        <w:gridCol w:w="1432"/>
        <w:gridCol w:w="1433"/>
        <w:gridCol w:w="1433"/>
        <w:gridCol w:w="1433"/>
        <w:gridCol w:w="1433"/>
        <w:gridCol w:w="1432"/>
        <w:gridCol w:w="1577"/>
        <w:gridCol w:w="26"/>
      </w:tblGrid>
      <w:tr w:rsidR="00A344E5">
        <w:trPr>
          <w:trHeight w:hRule="exact" w:val="430"/>
        </w:trPr>
        <w:tc>
          <w:tcPr>
            <w:tcW w:w="15618" w:type="dxa"/>
            <w:gridSpan w:val="10"/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22</w:t>
            </w:r>
          </w:p>
        </w:tc>
        <w:tc>
          <w:tcPr>
            <w:tcW w:w="14" w:type="dxa"/>
          </w:tcPr>
          <w:p w:rsidR="00A344E5" w:rsidRDefault="00A344E5"/>
        </w:tc>
      </w:tr>
      <w:tr w:rsidR="00A344E5">
        <w:trPr>
          <w:trHeight w:hRule="exact" w:val="143"/>
        </w:trPr>
        <w:tc>
          <w:tcPr>
            <w:tcW w:w="860" w:type="dxa"/>
            <w:shd w:val="clear" w:color="auto" w:fill="auto"/>
          </w:tcPr>
          <w:p w:rsidR="00A344E5" w:rsidRDefault="007D6BD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9"/>
            <w:shd w:val="clear" w:color="auto" w:fill="auto"/>
            <w:vAlign w:val="center"/>
          </w:tcPr>
          <w:p w:rsidR="00A344E5" w:rsidRDefault="00A344E5"/>
        </w:tc>
        <w:tc>
          <w:tcPr>
            <w:tcW w:w="14" w:type="dxa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0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4. Финансовое обеспечение реализации регионального проекта</w:t>
            </w:r>
          </w:p>
          <w:p w:rsidR="00A344E5" w:rsidRDefault="00A344E5"/>
        </w:tc>
        <w:tc>
          <w:tcPr>
            <w:tcW w:w="14" w:type="dxa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57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286"/>
        </w:trPr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444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57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A344E5" w:rsidRDefault="00A344E5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859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  <w:p w:rsidR="00A344E5" w:rsidRDefault="00A344E5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860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505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02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23</w:t>
            </w:r>
          </w:p>
        </w:tc>
        <w:tc>
          <w:tcPr>
            <w:tcW w:w="14" w:type="dxa"/>
          </w:tcPr>
          <w:p w:rsidR="00A344E5" w:rsidRDefault="00A344E5"/>
        </w:tc>
      </w:tr>
      <w:tr w:rsidR="00A344E5">
        <w:trPr>
          <w:trHeight w:hRule="exact" w:val="15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  <w:p w:rsidR="00A344E5" w:rsidRDefault="00A344E5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859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  <w:p w:rsidR="00A344E5" w:rsidRDefault="00A344E5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860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  <w:p w:rsidR="00A344E5" w:rsidRDefault="00A344E5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401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24</w:t>
            </w:r>
          </w:p>
        </w:tc>
        <w:tc>
          <w:tcPr>
            <w:tcW w:w="14" w:type="dxa"/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50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  <w:p w:rsidR="00A344E5" w:rsidRDefault="00A344E5"/>
        </w:tc>
        <w:tc>
          <w:tcPr>
            <w:tcW w:w="146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860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505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территориальных фондов обязательного медицинского страхования),всего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573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2 400,00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14 400,00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29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0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25</w:t>
            </w:r>
          </w:p>
        </w:tc>
        <w:tc>
          <w:tcPr>
            <w:tcW w:w="14" w:type="dxa"/>
          </w:tcPr>
          <w:p w:rsidR="00A344E5" w:rsidRDefault="00A344E5"/>
        </w:tc>
      </w:tr>
      <w:tr w:rsidR="00A344E5">
        <w:trPr>
          <w:trHeight w:hRule="exact" w:val="444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свод бюджетов Муниципальных образований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290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бюджеты территориальных государственных </w:t>
            </w:r>
          </w:p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внебюджетных фондов(бюджетам </w:t>
            </w:r>
          </w:p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территориальных фондов </w:t>
            </w:r>
          </w:p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обязательного медицинского страхования) 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573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 внебюджетные источники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5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4E5" w:rsidRDefault="00A344E5"/>
        </w:tc>
      </w:tr>
    </w:tbl>
    <w:p w:rsidR="00A344E5" w:rsidRDefault="00A344E5">
      <w:pPr>
        <w:sectPr w:rsidR="00A344E5">
          <w:pgSz w:w="16834" w:h="11909" w:orient="landscape"/>
          <w:pgMar w:top="562" w:right="562" w:bottom="512" w:left="56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3296"/>
        <w:gridCol w:w="1432"/>
        <w:gridCol w:w="2150"/>
        <w:gridCol w:w="2292"/>
        <w:gridCol w:w="1290"/>
        <w:gridCol w:w="1432"/>
        <w:gridCol w:w="3153"/>
      </w:tblGrid>
      <w:tr w:rsidR="00A344E5">
        <w:trPr>
          <w:trHeight w:hRule="exact" w:val="430"/>
        </w:trPr>
        <w:tc>
          <w:tcPr>
            <w:tcW w:w="15618" w:type="dxa"/>
            <w:gridSpan w:val="8"/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26</w:t>
            </w:r>
          </w:p>
        </w:tc>
      </w:tr>
      <w:tr w:rsidR="00A344E5">
        <w:trPr>
          <w:trHeight w:hRule="exact" w:val="430"/>
        </w:trPr>
        <w:tc>
          <w:tcPr>
            <w:tcW w:w="15618" w:type="dxa"/>
            <w:gridSpan w:val="8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ab/>
              <w:t>Перечень методик расчета показателей регионального проекта</w:t>
            </w:r>
          </w:p>
        </w:tc>
      </w:tr>
      <w:tr w:rsidR="00A344E5">
        <w:trPr>
          <w:trHeight w:hRule="exact" w:val="57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целевого, дополнительного показателя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 измерения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103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и реквизиты документа, которым утверждена методика расчета показателя</w:t>
            </w:r>
          </w:p>
        </w:tc>
      </w:tr>
      <w:tr w:rsidR="00A344E5">
        <w:trPr>
          <w:trHeight w:hRule="exact" w:val="57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</w:t>
            </w: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Утвердивший орган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Номер</w:t>
            </w: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</w:t>
            </w:r>
          </w:p>
        </w:tc>
      </w:tr>
      <w:tr w:rsidR="00A344E5">
        <w:trPr>
          <w:trHeight w:hRule="exact" w:val="203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показатель: Обращаемость в медицинские организации по вопросам здорового образа жизни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РОССИЙСКОЙ ФЕДЕРАЦИИ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18.04.2019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226</w:t>
            </w: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показателей национального проекта "Демография", и входящего в него федерельного проекта "Укрепление общественного здоровья"</w:t>
            </w:r>
          </w:p>
        </w:tc>
      </w:tr>
      <w:tr w:rsidR="00A344E5">
        <w:trPr>
          <w:trHeight w:hRule="exact" w:val="18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Дополнительный показатель: Розничные продажи сигарет и папирос на душу населения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штук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19.03.2020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135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методики расчета показателя "Розничные продажи сигарет и папирос на душу населен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ия (тысяч штук)" федерального проекта "Формирование системы мотивации граждан к здоровому образу жизни, включая здоровое питание и отказ от вредных привычек" национального проекта "Демография"</w:t>
            </w:r>
          </w:p>
        </w:tc>
      </w:tr>
      <w:tr w:rsidR="00A344E5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</w:tr>
      <w:tr w:rsidR="00A344E5">
        <w:trPr>
          <w:trHeight w:hRule="exact" w:val="24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Основной показатель: Розничные продажи алкогольной продукции на душу населения (в литрах этанола)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ПО РЕГУЛИРОВАНИЮ АЛКОГОЛЬНОГО РЫНКА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05.03.2020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Методики пересчета объема розничных прод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аж алкогольной продукции в литры безводного спирта и Методики расчета показателя 2.9.7^17 "Розничные продажи </w:t>
            </w:r>
          </w:p>
        </w:tc>
      </w:tr>
      <w:tr w:rsidR="00A344E5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27</w:t>
            </w:r>
          </w:p>
        </w:tc>
      </w:tr>
      <w:tr w:rsidR="00A344E5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алкогольной продукции на душу населения(в литрах этанола)" Федерального плана статистических работ</w:t>
            </w:r>
          </w:p>
        </w:tc>
      </w:tr>
      <w:tr w:rsidR="00A344E5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Основной показатель: Смертность женщин в возрасте  16-54 лет 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100 тысяч человек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ФЕДЕРАЛЬНАЯ СЛУЖБА ГОСУДАРСТВЕННОЙ СТАТИСТИКИ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184</w:t>
            </w: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 утверждении методик расчета закрепленных за Росстатом показателей национального проекта "Здравоохранение" (вместе с "Методикой расчета показателя "Смертность населения трудоспособного возраста, на 100 тыс. населения", "Методикой расчета показателя "Смер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тность от инфаркта миокарда, на 100 тыс. населения", "Методикой расчета показателя "Смертность от острого нарушения мозгового кровообращения, на 100 тыс. населения", "Методикой расчета показателя "Смертность детей в возрасте 0 - 4 года на 1000 родившихся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ивыми", "Методикой расчета показателя "Смертность детей в возрасте 0 - 17 лет на 100 тыс. детей соответствующего возраста")</w:t>
            </w:r>
          </w:p>
        </w:tc>
      </w:tr>
      <w:tr w:rsidR="00A344E5">
        <w:trPr>
          <w:trHeight w:hRule="exact" w:val="24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</w:tr>
      <w:tr w:rsidR="00A344E5">
        <w:trPr>
          <w:trHeight w:hRule="exact" w:val="24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</w:tr>
      <w:tr w:rsidR="00A344E5">
        <w:trPr>
          <w:trHeight w:hRule="exact" w:val="6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Основной показатель: 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на 100 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Приказ</w:t>
            </w: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ФЕДЕРАЛЬНАЯ 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29.03.201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184</w:t>
            </w:r>
          </w:p>
        </w:tc>
        <w:tc>
          <w:tcPr>
            <w:tcW w:w="3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 утверждении методик </w:t>
            </w:r>
          </w:p>
        </w:tc>
      </w:tr>
      <w:tr w:rsidR="00A344E5">
        <w:trPr>
          <w:trHeight w:hRule="exact" w:val="430"/>
        </w:trPr>
        <w:tc>
          <w:tcPr>
            <w:tcW w:w="15618" w:type="dxa"/>
            <w:gridSpan w:val="8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28</w:t>
            </w:r>
          </w:p>
        </w:tc>
      </w:tr>
      <w:tr w:rsidR="00A344E5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мужчин в возрасте  16-59 лет 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 человек</w:t>
            </w:r>
          </w:p>
        </w:tc>
        <w:tc>
          <w:tcPr>
            <w:tcW w:w="21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СЛУЖБА ГОСУДАРСТВЕННОЙ СТАТИСТИКИ</w:t>
            </w:r>
          </w:p>
        </w:tc>
        <w:tc>
          <w:tcPr>
            <w:tcW w:w="12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15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расчета закрепленных за Росстатом показателей национального проекта "Здравоохранение" (вместе с "Методикой расчета показателя "Смертность населения трудоспособного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возраста, на 100 тыс. населения", "Методикой расчета показателя "Смертность от инфаркта миокарда, на 100 тыс. населения", "Методикой расчета показателя "Смертность от острого нарушения мозгового кровообращения, на 100 тыс. населения", "Методикой расчета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оказателя "Смертность детей в возрасте 0 - 4 года на 1000 родившихся живыми", "Методикой расчета показателя "Смертность детей в возрасте 0 - 17 лет на 100 тыс. детей соответствующего возраста")</w:t>
            </w:r>
          </w:p>
        </w:tc>
      </w:tr>
      <w:tr w:rsidR="00A344E5">
        <w:trPr>
          <w:trHeight w:hRule="exact" w:val="235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</w:tr>
      <w:tr w:rsidR="00A344E5">
        <w:trPr>
          <w:trHeight w:hRule="exact" w:val="23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2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1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22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29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315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</w:tr>
    </w:tbl>
    <w:p w:rsidR="00A344E5" w:rsidRDefault="00A344E5">
      <w:pPr>
        <w:sectPr w:rsidR="00A344E5">
          <w:pgSz w:w="16834" w:h="1190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144"/>
        <w:gridCol w:w="3295"/>
        <w:gridCol w:w="1161"/>
        <w:gridCol w:w="1848"/>
        <w:gridCol w:w="1834"/>
        <w:gridCol w:w="1461"/>
        <w:gridCol w:w="617"/>
        <w:gridCol w:w="386"/>
        <w:gridCol w:w="1820"/>
        <w:gridCol w:w="43"/>
        <w:gridCol w:w="2020"/>
        <w:gridCol w:w="273"/>
        <w:gridCol w:w="28"/>
        <w:gridCol w:w="1920"/>
        <w:gridCol w:w="2063"/>
        <w:gridCol w:w="2866"/>
        <w:gridCol w:w="86"/>
        <w:gridCol w:w="917"/>
      </w:tblGrid>
      <w:tr w:rsidR="00A344E5">
        <w:trPr>
          <w:trHeight w:hRule="exact" w:val="430"/>
        </w:trPr>
        <w:tc>
          <w:tcPr>
            <w:tcW w:w="15618" w:type="dxa"/>
            <w:gridSpan w:val="13"/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29</w:t>
            </w:r>
          </w:p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573"/>
        </w:trPr>
        <w:tc>
          <w:tcPr>
            <w:tcW w:w="15618" w:type="dxa"/>
            <w:gridSpan w:val="1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6. Дополнительная информация</w:t>
            </w:r>
          </w:p>
        </w:tc>
        <w:tc>
          <w:tcPr>
            <w:tcW w:w="28" w:type="dxa"/>
            <w:tcBorders>
              <w:bottom w:val="single" w:sz="5" w:space="0" w:color="000000"/>
            </w:tcBorders>
          </w:tcPr>
          <w:p w:rsidR="00A344E5" w:rsidRDefault="00A344E5"/>
        </w:tc>
        <w:tc>
          <w:tcPr>
            <w:tcW w:w="7852" w:type="dxa"/>
            <w:gridSpan w:val="5"/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15646" w:type="dxa"/>
            <w:gridSpan w:val="1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1. Выделение наиболее значимых и заметных для общества укрупненных целей и задач, предусмотрев их приоритетное финансирование и концентрацию иных ресурсов для их достижения Наиболее значимыми задачами проекта, по которым оп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ределено приоритетное финансирование и концентрация других ресурсов, следует считать мероприятия: - разработке и принятию нормативных правовых актов и методических документов по вопросам ведения гражданами здорового образа жизни, основанные на рекомендация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Всемирной организации здравоохранения, включая создание на базе центров здоровья и центров медицинской профилактики центров общественного здоровья; - по внедрению в 100% муниципальных образований модельных муниципальных программ по укреплению общественно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 здоровья; - по внедрению модели организации и функционирования центров общественного здоровья; - по внедрению корпоративных программ, содержащих наилучшие практики по укреплению здоровья работников; - по проведению ежегодной коммуникационной кампании,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ропагандируешь здоровый образ жизни и бережное отношение к здоровью с охватом не менее 75% аудитории старше 12 лет по основным каналам: телевидение, радио и в информационно-телекоммуникационной сети «Интернет»;   2. Обоснование эффективности, достаточности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необходимости предлагаемых мероприятий Широкомасштабная информационно-коммуникационная кампания по вопросам здорового питания, направленная на преодоление избыточного потребления сахара, соли и жира будет проведена в целях формирования приверженности 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аждан принципам здорового питания. Предполагается, что кампанией будет охвачено почти все население России за 2021-2024 годы. При этом кампании также будут адресными: с выбором наилучших каналов доведения информации до различных возрастных и социальных гру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пп и соответствующей адаптированной подачей информации.   3. Первоочередная реализация в проекте мероприятий, позволяющих оптимизировать или минимизировать стоимость последующих мероприятий Привлечение НКО и волонтерских организаций к внедрению модельных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рограмм по профилактике неинфекционных заболеваний и основам здорового образа жизни позволит компенсировать кадровый дефицит специалистов по общественному здоровью, увеличить охват целевой аудитории без дополнительного финансирования и обеспечить вовлечени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самых широких групп.   4. Сдерживающие факторы при реализации регнионального проекта. Недостаточная штатная численность медицинских работников, участвующих в реализации федерального проекта, а также отсутствие в штате структур медицинской профилактики 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ециалистов по коммуникационным проектам, PR, рекламе, таргетированным механизмам размещения в сети «Интеренет», проектных менеджеров, специалистов по корпоративной среде, специалистов по работе с НКО. Также необходимо отметить высокую стоимость размещения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роликов в сети интернет, трансляцию передач на теле-радио - каналах. Выделение средств в рамках предусмотренного бюджета на привлечение указанных специалистов и проведение информационно-коммуникационной кампании необходимо для реализации запланированных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региональном проекте мероприятий в полном объеме. Основным фактором риска недостижения целевых показателей при реализации регионального проекта является отсутствие запланированного федерального финансирования на создание центров общественного здоровья. </w:t>
            </w:r>
          </w:p>
          <w:p w:rsidR="00A344E5" w:rsidRDefault="00A344E5"/>
        </w:tc>
        <w:tc>
          <w:tcPr>
            <w:tcW w:w="7852" w:type="dxa"/>
            <w:gridSpan w:val="5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819"/>
        </w:trPr>
        <w:tc>
          <w:tcPr>
            <w:tcW w:w="15646" w:type="dxa"/>
            <w:gridSpan w:val="1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852" w:type="dxa"/>
            <w:gridSpan w:val="5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820"/>
        </w:trPr>
        <w:tc>
          <w:tcPr>
            <w:tcW w:w="15646" w:type="dxa"/>
            <w:gridSpan w:val="1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852" w:type="dxa"/>
            <w:gridSpan w:val="5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633"/>
        </w:trPr>
        <w:tc>
          <w:tcPr>
            <w:tcW w:w="15646" w:type="dxa"/>
            <w:gridSpan w:val="1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Региональный проект направлен на достижение цели национального проекта «Демография» по увеличению ожидаемой продолжительности здоровой жизни до 67 лет, увеличение обращаемости в медицинские организации по вопросам здорового образа жизни, в том числе увели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чение числа лиц, которым рекомендованы индивидуальные планы по здоровому образу жизни, а также на достижение национальной цели по росту ожидаемой продолжительности жизни до 78 лет к 2024 году. Кроме того, мероприятия, связанные с формированием здоровья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производстве, которые в долгосрочной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доходов. Более того, мероприятия, запланированные в рамках данного регионального проект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должны оказать влияние на такие показатели национального проекта «Демография», как: увеличение суммарного коэффициента рождаемости (благодаря мероприятиям по укреплению репродуктивного здоровья); доля граждан, систематически занимающихся физической культ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урой и спортом (благодаря модельным муниципальным и корпоративным программам). В рамках регионального проекта объединены меры, направленные на формирование системы мотивации граждан к ведению здорового образа жизни. Предусматриваемые проектом мероприятия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осят комплексный характер и включают разработку мер по дальнейшему ограничению потребления алкоголя, защите от табачного дыма, ликвидации микронутриентной недостаточности, сокращение потребления соли и сахара), мониторингу за состоянием питания </w:t>
            </w:r>
          </w:p>
          <w:p w:rsidR="00A344E5" w:rsidRDefault="00A344E5"/>
        </w:tc>
        <w:tc>
          <w:tcPr>
            <w:tcW w:w="7852" w:type="dxa"/>
            <w:gridSpan w:val="5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634"/>
        </w:trPr>
        <w:tc>
          <w:tcPr>
            <w:tcW w:w="15646" w:type="dxa"/>
            <w:gridSpan w:val="1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852" w:type="dxa"/>
            <w:gridSpan w:val="5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429"/>
        </w:trPr>
        <w:tc>
          <w:tcPr>
            <w:tcW w:w="15618" w:type="dxa"/>
            <w:gridSpan w:val="1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30</w:t>
            </w:r>
          </w:p>
        </w:tc>
        <w:tc>
          <w:tcPr>
            <w:tcW w:w="28" w:type="dxa"/>
            <w:tcBorders>
              <w:top w:val="single" w:sz="5" w:space="0" w:color="000000"/>
              <w:bottom w:val="single" w:sz="5" w:space="0" w:color="000000"/>
            </w:tcBorders>
          </w:tcPr>
          <w:p w:rsidR="00A344E5" w:rsidRDefault="00A344E5"/>
        </w:tc>
        <w:tc>
          <w:tcPr>
            <w:tcW w:w="7852" w:type="dxa"/>
            <w:gridSpan w:val="5"/>
          </w:tcPr>
          <w:p w:rsidR="00A344E5" w:rsidRDefault="00A344E5"/>
        </w:tc>
      </w:tr>
      <w:tr w:rsidR="00A344E5">
        <w:trPr>
          <w:trHeight w:hRule="exact" w:val="2207"/>
        </w:trPr>
        <w:tc>
          <w:tcPr>
            <w:tcW w:w="15646" w:type="dxa"/>
            <w:gridSpan w:val="1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различных групп населения с применением научных исследований. Основной задачей регионального проекта является формирование среды, способствующей ведению гражданами здорового образа жизни, включая создание на базе существующих центров здоровья, центров 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щественного здоровья. Центры общественного здоровья должны стать центральным элементов в координации программ популяционной профилактики, реализуемых с участием представителей муниципальных властей, крупного и среднего бизнеса, волонтерских движений и НКО,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специализирующихся в сфере общественного здоровья и здорового образа жизни. Информационная поддержка будет осуществляться в рамках ежегодной информационно-коммуникационной кампании с охватом не менее 75% (не менее 70% в 2021 г.) аудитории граждан старше 1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лет по основным каналам: телевидение, радио и в информационно-телекоммуникационной сети «Интернет. При размещении информационных материалов будут задействованы механизмы таргетинга (география, демография, интересы, сообщества, путешествия, устройства). 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казанные меры позволят лучше понять психологию пользователя и коммуникационно воздействовать на него на индивидуальном уровне. Реализация муниципальных программ общественного здоровья вместе с внедрением корпоративных программ позволит максимально охватить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целевую аудиторию трудоспособной части населения, повысив осведомленность граждан о принципах здорового образа жизни. Увеличение доли лиц, приверженных здоровому образу жизни, приведет к снижению заболеваемости и смертности от основных хронических и неинф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екционных заболеваний (ХНИЗ) (сердечно-сосудистых, онкологических) и внешних причин (например, связанных с потреблением алкоголя) в трудоспособном возрасте. Эффективная профилактика ХНИЗ будет реализована в рамках внедрения популяционной профилактической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одели на базе создаваемых центров общественного здоровья. Региональный проект включает мероприятия, запланированные ранее приоритетным проектом «Формирование здорового образа жизни», включая преемственность финансового обеспечения этих мероприятий.</w:t>
            </w:r>
          </w:p>
          <w:p w:rsidR="00A344E5" w:rsidRDefault="00A344E5"/>
        </w:tc>
        <w:tc>
          <w:tcPr>
            <w:tcW w:w="7852" w:type="dxa"/>
            <w:gridSpan w:val="5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2192"/>
        </w:trPr>
        <w:tc>
          <w:tcPr>
            <w:tcW w:w="15646" w:type="dxa"/>
            <w:gridSpan w:val="1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A344E5"/>
        </w:tc>
        <w:tc>
          <w:tcPr>
            <w:tcW w:w="7852" w:type="dxa"/>
            <w:gridSpan w:val="5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43"/>
        </w:trPr>
        <w:tc>
          <w:tcPr>
            <w:tcW w:w="15646" w:type="dxa"/>
            <w:gridSpan w:val="14"/>
            <w:tcBorders>
              <w:top w:val="single" w:sz="5" w:space="0" w:color="000000"/>
            </w:tcBorders>
          </w:tcPr>
          <w:p w:rsidR="00A344E5" w:rsidRDefault="00A344E5"/>
        </w:tc>
        <w:tc>
          <w:tcPr>
            <w:tcW w:w="7852" w:type="dxa"/>
            <w:gridSpan w:val="5"/>
          </w:tcPr>
          <w:p w:rsidR="00A344E5" w:rsidRDefault="00A344E5"/>
        </w:tc>
      </w:tr>
      <w:tr w:rsidR="00A344E5">
        <w:trPr>
          <w:trHeight w:hRule="exact" w:val="287"/>
        </w:trPr>
        <w:tc>
          <w:tcPr>
            <w:tcW w:w="11462" w:type="dxa"/>
            <w:gridSpan w:val="9"/>
          </w:tcPr>
          <w:p w:rsidR="00A344E5" w:rsidRDefault="00A344E5"/>
        </w:tc>
        <w:tc>
          <w:tcPr>
            <w:tcW w:w="4156" w:type="dxa"/>
            <w:gridSpan w:val="4"/>
            <w:shd w:val="clear" w:color="auto" w:fill="auto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(не подлежат утверждению)</w:t>
            </w:r>
          </w:p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23498" w:type="dxa"/>
            <w:gridSpan w:val="19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ДОПОЛНИТЕЛЬНЫЕ И ОБОСНОВЫВАЮЩИЕ МАТЕРИАЛЫ</w:t>
            </w:r>
          </w:p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shd w:val="clear" w:color="auto" w:fill="auto"/>
            <w:vAlign w:val="bottom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5618" w:type="dxa"/>
            <w:gridSpan w:val="13"/>
            <w:shd w:val="clear" w:color="auto" w:fill="auto"/>
            <w:tcMar>
              <w:top w:w="287" w:type="dxa"/>
            </w:tcMar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Укрепление общественного здоровья (Республика Коми)</w:t>
            </w:r>
          </w:p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573"/>
        </w:trPr>
        <w:tc>
          <w:tcPr>
            <w:tcW w:w="15618" w:type="dxa"/>
            <w:gridSpan w:val="1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ab/>
              <w:t>Модель функционирования результатов и достижения показателей регионального проекта</w:t>
            </w:r>
          </w:p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631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A344E5">
            <w:pPr>
              <w:spacing w:line="16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344E5" w:rsidRDefault="00A344E5">
            <w:pPr>
              <w:spacing w:line="16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344E5" w:rsidRDefault="00A344E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2865"/>
        </w:trPr>
        <w:tc>
          <w:tcPr>
            <w:tcW w:w="15618" w:type="dxa"/>
            <w:gridSpan w:val="13"/>
            <w:tcBorders>
              <w:top w:val="single" w:sz="5" w:space="0" w:color="000000"/>
            </w:tcBorders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2121"/>
        </w:trPr>
        <w:tc>
          <w:tcPr>
            <w:tcW w:w="23498" w:type="dxa"/>
            <w:gridSpan w:val="19"/>
          </w:tcPr>
          <w:p w:rsidR="00A344E5" w:rsidRDefault="00A344E5"/>
        </w:tc>
      </w:tr>
      <w:tr w:rsidR="00A344E5">
        <w:trPr>
          <w:trHeight w:hRule="exact" w:val="2106"/>
        </w:trPr>
        <w:tc>
          <w:tcPr>
            <w:tcW w:w="23498" w:type="dxa"/>
            <w:gridSpan w:val="19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22495" w:type="dxa"/>
            <w:gridSpan w:val="17"/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003" w:type="dxa"/>
            <w:gridSpan w:val="2"/>
          </w:tcPr>
          <w:p w:rsidR="00A344E5" w:rsidRDefault="00A344E5"/>
        </w:tc>
      </w:tr>
      <w:tr w:rsidR="00A344E5">
        <w:trPr>
          <w:trHeight w:hRule="exact" w:val="573"/>
        </w:trPr>
        <w:tc>
          <w:tcPr>
            <w:tcW w:w="23498" w:type="dxa"/>
            <w:gridSpan w:val="19"/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ab/>
              <w:t>Оценка обеспеченности целей и целевых показателей регионального проекта</w:t>
            </w:r>
          </w:p>
        </w:tc>
      </w:tr>
      <w:tr w:rsidR="00A344E5">
        <w:trPr>
          <w:trHeight w:hRule="exact" w:val="1146"/>
        </w:trPr>
        <w:tc>
          <w:tcPr>
            <w:tcW w:w="22581" w:type="dxa"/>
            <w:gridSpan w:val="18"/>
            <w:tcBorders>
              <w:bottom w:val="single" w:sz="5" w:space="0" w:color="9B9B9B"/>
            </w:tcBorders>
          </w:tcPr>
          <w:p w:rsidR="00A344E5" w:rsidRDefault="00A344E5"/>
        </w:tc>
        <w:tc>
          <w:tcPr>
            <w:tcW w:w="917" w:type="dxa"/>
          </w:tcPr>
          <w:p w:rsidR="00A344E5" w:rsidRDefault="00A344E5"/>
        </w:tc>
      </w:tr>
      <w:tr w:rsidR="00A344E5">
        <w:trPr>
          <w:trHeight w:hRule="exact" w:val="2436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Наименование результата регионального проекта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Объем бюджетных ассигнований 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"Смертность мужчин в возрасте  16-59 лет 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"Обращаемость в медицинские организации по вопросам здорового образа жизни",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"Розничные продажи сигарет и папирос на душу населения",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"Розничные продажи алкогольной продукции на душу нас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еления (в литрах этанола)",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"Смертность женщин в возрасте  16-54 лет 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934"/>
        </w:trPr>
        <w:tc>
          <w:tcPr>
            <w:tcW w:w="5316" w:type="dxa"/>
            <w:gridSpan w:val="4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t>1.В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</w:t>
            </w:r>
            <w:r>
              <w:t>0,00</w:t>
            </w:r>
          </w:p>
        </w:tc>
        <w:tc>
          <w:tcPr>
            <w:tcW w:w="2221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934"/>
        </w:trPr>
        <w:tc>
          <w:tcPr>
            <w:tcW w:w="5316" w:type="dxa"/>
            <w:gridSpan w:val="4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3682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078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20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063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221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063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952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t>2.За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2 400,00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lastRenderedPageBreak/>
              <w:t>3.За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2 400,00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429"/>
        </w:trPr>
        <w:tc>
          <w:tcPr>
            <w:tcW w:w="22495" w:type="dxa"/>
            <w:gridSpan w:val="17"/>
            <w:tcBorders>
              <w:top w:val="single" w:sz="5" w:space="0" w:color="9B9B9B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A344E5" w:rsidRDefault="00A344E5"/>
        </w:tc>
        <w:tc>
          <w:tcPr>
            <w:tcW w:w="917" w:type="dxa"/>
          </w:tcPr>
          <w:p w:rsidR="00A344E5" w:rsidRDefault="00A344E5"/>
        </w:tc>
      </w:tr>
      <w:tr w:rsidR="00A344E5">
        <w:trPr>
          <w:trHeight w:hRule="exact" w:val="1720"/>
        </w:trPr>
        <w:tc>
          <w:tcPr>
            <w:tcW w:w="22581" w:type="dxa"/>
            <w:gridSpan w:val="18"/>
            <w:tcBorders>
              <w:bottom w:val="single" w:sz="5" w:space="0" w:color="9B9B9B"/>
            </w:tcBorders>
          </w:tcPr>
          <w:p w:rsidR="00A344E5" w:rsidRDefault="00A344E5"/>
        </w:tc>
        <w:tc>
          <w:tcPr>
            <w:tcW w:w="917" w:type="dxa"/>
          </w:tcPr>
          <w:p w:rsidR="00A344E5" w:rsidRDefault="00A344E5"/>
        </w:tc>
      </w:tr>
      <w:tr w:rsidR="00A344E5">
        <w:trPr>
          <w:trHeight w:hRule="exact" w:val="2436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регионального проекта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Объем бюджетных ассигнований 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"Смертность мужчин в возрасте  16-59 лет 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"Обращаемость в медицинские организации по вопросам здорового образа жизни",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"Розничные продажи сигарет и папирос на душу населения",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"Розничные продажи алкогольной продукции на душу населения (в литрах этанола)",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"Смертность женщин в возрасте  16-54 лет 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2865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t>4.За 2023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2 400,00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576"/>
        </w:trPr>
        <w:tc>
          <w:tcPr>
            <w:tcW w:w="5316" w:type="dxa"/>
            <w:gridSpan w:val="4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lastRenderedPageBreak/>
              <w:t>5.Обеспечено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576"/>
        </w:trPr>
        <w:tc>
          <w:tcPr>
            <w:tcW w:w="5316" w:type="dxa"/>
            <w:gridSpan w:val="4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3682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078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20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063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221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063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952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2150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t>6.Субъекты Российской Федерации обеспечили внедрение модели организации и функционирования центров общественного здоровья.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14,40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429"/>
        </w:trPr>
        <w:tc>
          <w:tcPr>
            <w:tcW w:w="22495" w:type="dxa"/>
            <w:gridSpan w:val="17"/>
            <w:tcBorders>
              <w:top w:val="single" w:sz="5" w:space="0" w:color="9B9B9B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A344E5" w:rsidRDefault="00A344E5"/>
        </w:tc>
        <w:tc>
          <w:tcPr>
            <w:tcW w:w="917" w:type="dxa"/>
          </w:tcPr>
          <w:p w:rsidR="00A344E5" w:rsidRDefault="00A344E5"/>
        </w:tc>
      </w:tr>
      <w:tr w:rsidR="00A344E5">
        <w:trPr>
          <w:trHeight w:hRule="exact" w:val="1720"/>
        </w:trPr>
        <w:tc>
          <w:tcPr>
            <w:tcW w:w="22581" w:type="dxa"/>
            <w:gridSpan w:val="18"/>
            <w:tcBorders>
              <w:bottom w:val="single" w:sz="5" w:space="0" w:color="9B9B9B"/>
            </w:tcBorders>
          </w:tcPr>
          <w:p w:rsidR="00A344E5" w:rsidRDefault="00A344E5"/>
        </w:tc>
        <w:tc>
          <w:tcPr>
            <w:tcW w:w="917" w:type="dxa"/>
          </w:tcPr>
          <w:p w:rsidR="00A344E5" w:rsidRDefault="00A344E5"/>
        </w:tc>
      </w:tr>
      <w:tr w:rsidR="00A344E5">
        <w:trPr>
          <w:trHeight w:hRule="exact" w:val="2435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регионального проекта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Объем бюджетных ассигнований 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"Смертность мужчин в возрасте  16-59 лет 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"Обращаемость в медицинские организации по вопросам здорового образа жизни",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"Розничные продажи сигарет и папирос на душу населения",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на достижение (процентов)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"Розничные продажи алкогольной продукции на душу населения (в литрах этанола)",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"Смертность женщин в возрасте  16-54 лет 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577"/>
        </w:trPr>
        <w:tc>
          <w:tcPr>
            <w:tcW w:w="5316" w:type="dxa"/>
            <w:gridSpan w:val="4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lastRenderedPageBreak/>
              <w:t>7.В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</w:tc>
        <w:tc>
          <w:tcPr>
            <w:tcW w:w="3682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576"/>
        </w:trPr>
        <w:tc>
          <w:tcPr>
            <w:tcW w:w="5316" w:type="dxa"/>
            <w:gridSpan w:val="4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3682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078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206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063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221" w:type="dxa"/>
            <w:gridSpan w:val="3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063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952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576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t>8.Муниципальные образования внедрили муниципальные программы общественного здоровья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2865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t>9.За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2 400,00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2866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t>10.За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2 400,00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22495" w:type="dxa"/>
            <w:gridSpan w:val="17"/>
            <w:tcBorders>
              <w:top w:val="single" w:sz="5" w:space="0" w:color="9B9B9B"/>
            </w:tcBorders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</w:t>
            </w:r>
          </w:p>
        </w:tc>
        <w:tc>
          <w:tcPr>
            <w:tcW w:w="86" w:type="dxa"/>
            <w:tcBorders>
              <w:top w:val="single" w:sz="5" w:space="0" w:color="9B9B9B"/>
            </w:tcBorders>
          </w:tcPr>
          <w:p w:rsidR="00A344E5" w:rsidRDefault="00A344E5"/>
        </w:tc>
        <w:tc>
          <w:tcPr>
            <w:tcW w:w="917" w:type="dxa"/>
          </w:tcPr>
          <w:p w:rsidR="00A344E5" w:rsidRDefault="00A344E5"/>
        </w:tc>
      </w:tr>
      <w:tr w:rsidR="00A344E5">
        <w:trPr>
          <w:trHeight w:hRule="exact" w:val="1719"/>
        </w:trPr>
        <w:tc>
          <w:tcPr>
            <w:tcW w:w="22581" w:type="dxa"/>
            <w:gridSpan w:val="18"/>
            <w:tcBorders>
              <w:bottom w:val="single" w:sz="5" w:space="0" w:color="9B9B9B"/>
            </w:tcBorders>
          </w:tcPr>
          <w:p w:rsidR="00A344E5" w:rsidRDefault="00A344E5"/>
        </w:tc>
        <w:tc>
          <w:tcPr>
            <w:tcW w:w="917" w:type="dxa"/>
          </w:tcPr>
          <w:p w:rsidR="00A344E5" w:rsidRDefault="00A344E5"/>
        </w:tc>
      </w:tr>
      <w:tr w:rsidR="00A344E5">
        <w:trPr>
          <w:trHeight w:hRule="exact" w:val="2436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регионального проекта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Объем бюджетных ассигнований 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"Смертность мужчин в возрасте  16-59 лет 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"Обращаемость в медицинские организации по вопросам здорового образа жизни",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процентов)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"Розничные продажи сигарет и папирос на душу населения",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"Розничные продажи алкогольной продукции на душу населения (в литрах этанола)",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"Смертность женщин в возрасте  16-54 лет ", 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Влияние на достижение (процентов)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Сводный рейтинг (баллов)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863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t>11.Внедрены корпоративные программы, содержащие наилучшие практики по укреплению здоровья работников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2865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t>12.За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2 400,00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063" w:type="dxa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10,00</w:t>
            </w:r>
          </w:p>
        </w:tc>
        <w:tc>
          <w:tcPr>
            <w:tcW w:w="2952" w:type="dxa"/>
            <w:gridSpan w:val="2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576"/>
        </w:trPr>
        <w:tc>
          <w:tcPr>
            <w:tcW w:w="5316" w:type="dxa"/>
            <w:gridSpan w:val="4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"/>
              <w:spacing w:line="230" w:lineRule="auto"/>
            </w:pPr>
            <w:r>
              <w:lastRenderedPageBreak/>
              <w:t>13.ИТОГО обеспеченность основных и дополнительных показателей регионального проекта</w:t>
            </w:r>
          </w:p>
        </w:tc>
        <w:tc>
          <w:tcPr>
            <w:tcW w:w="3682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14 414,40</w:t>
            </w:r>
          </w:p>
        </w:tc>
        <w:tc>
          <w:tcPr>
            <w:tcW w:w="2078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120,00</w:t>
            </w:r>
          </w:p>
        </w:tc>
        <w:tc>
          <w:tcPr>
            <w:tcW w:w="2206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120,00</w:t>
            </w:r>
          </w:p>
        </w:tc>
        <w:tc>
          <w:tcPr>
            <w:tcW w:w="2063" w:type="dxa"/>
            <w:gridSpan w:val="2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120,00</w:t>
            </w:r>
          </w:p>
        </w:tc>
        <w:tc>
          <w:tcPr>
            <w:tcW w:w="2221" w:type="dxa"/>
            <w:gridSpan w:val="3"/>
            <w:tcBorders>
              <w:top w:val="single" w:sz="5" w:space="0" w:color="9B9B9B"/>
              <w:left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120,00</w:t>
            </w:r>
          </w:p>
        </w:tc>
        <w:tc>
          <w:tcPr>
            <w:tcW w:w="2063" w:type="dxa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7D6BD1">
            <w:pPr>
              <w:pStyle w:val="10"/>
              <w:spacing w:line="230" w:lineRule="auto"/>
              <w:jc w:val="center"/>
            </w:pPr>
            <w:r>
              <w:t>120,00</w:t>
            </w:r>
          </w:p>
        </w:tc>
        <w:tc>
          <w:tcPr>
            <w:tcW w:w="2952" w:type="dxa"/>
            <w:gridSpan w:val="2"/>
            <w:vMerge w:val="restart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600,00</w:t>
            </w:r>
          </w:p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287"/>
        </w:trPr>
        <w:tc>
          <w:tcPr>
            <w:tcW w:w="15618" w:type="dxa"/>
            <w:gridSpan w:val="13"/>
            <w:vMerge w:val="restart"/>
            <w:shd w:val="clear" w:color="auto" w:fill="FFFFFF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948" w:type="dxa"/>
            <w:gridSpan w:val="2"/>
            <w:tcBorders>
              <w:bottom w:val="single" w:sz="5" w:space="0" w:color="9B9B9B"/>
              <w:right w:val="single" w:sz="5" w:space="0" w:color="9B9B9B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 w:rsidR="00A344E5" w:rsidRDefault="00A344E5">
            <w:pPr>
              <w:pStyle w:val="10"/>
              <w:spacing w:line="230" w:lineRule="auto"/>
              <w:jc w:val="center"/>
            </w:pPr>
          </w:p>
        </w:tc>
        <w:tc>
          <w:tcPr>
            <w:tcW w:w="2063" w:type="dxa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2952" w:type="dxa"/>
            <w:gridSpan w:val="2"/>
            <w:vMerge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  <w:vAlign w:val="center"/>
          </w:tcPr>
          <w:p w:rsidR="00A344E5" w:rsidRDefault="00A344E5"/>
        </w:tc>
        <w:tc>
          <w:tcPr>
            <w:tcW w:w="917" w:type="dxa"/>
            <w:tcBorders>
              <w:left w:val="single" w:sz="5" w:space="0" w:color="9B9B9B"/>
            </w:tcBorders>
          </w:tcPr>
          <w:p w:rsidR="00A344E5" w:rsidRDefault="00A344E5"/>
        </w:tc>
      </w:tr>
      <w:tr w:rsidR="00A344E5">
        <w:trPr>
          <w:trHeight w:hRule="exact" w:val="143"/>
        </w:trPr>
        <w:tc>
          <w:tcPr>
            <w:tcW w:w="15618" w:type="dxa"/>
            <w:gridSpan w:val="13"/>
            <w:vMerge/>
            <w:shd w:val="clear" w:color="auto" w:fill="FFFFFF"/>
          </w:tcPr>
          <w:p w:rsidR="00A344E5" w:rsidRDefault="00A344E5"/>
        </w:tc>
        <w:tc>
          <w:tcPr>
            <w:tcW w:w="6963" w:type="dxa"/>
            <w:gridSpan w:val="5"/>
            <w:tcBorders>
              <w:top w:val="single" w:sz="5" w:space="0" w:color="9B9B9B"/>
            </w:tcBorders>
          </w:tcPr>
          <w:p w:rsidR="00A344E5" w:rsidRDefault="00A344E5"/>
        </w:tc>
        <w:tc>
          <w:tcPr>
            <w:tcW w:w="917" w:type="dxa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23498" w:type="dxa"/>
            <w:gridSpan w:val="19"/>
          </w:tcPr>
          <w:p w:rsidR="00A344E5" w:rsidRDefault="00A344E5"/>
        </w:tc>
      </w:tr>
      <w:tr w:rsidR="00A344E5">
        <w:trPr>
          <w:trHeight w:hRule="exact" w:val="143"/>
        </w:trPr>
        <w:tc>
          <w:tcPr>
            <w:tcW w:w="860" w:type="dxa"/>
            <w:gridSpan w:val="2"/>
            <w:shd w:val="clear" w:color="auto" w:fill="auto"/>
          </w:tcPr>
          <w:p w:rsidR="00A344E5" w:rsidRDefault="007D6BD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4758" w:type="dxa"/>
            <w:gridSpan w:val="11"/>
            <w:shd w:val="clear" w:color="auto" w:fill="auto"/>
            <w:vAlign w:val="center"/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3. Участники регионального проекта</w:t>
            </w:r>
          </w:p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859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Субъекты Российской Федерации обеспечили внедрение модели организации и функционирования центров общественного здоровья.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50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Сидоров М. В.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уролог Министерства здравоохранения Республики Коми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50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Голикова Е. Н.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внештатный специалист эндокринолог Министерства здравоохранения Республики Коми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Кондратьева И. А.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 организации медицинской помощи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8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Участник регионального 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Ткаченко Е. В.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Главный внештатный 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286"/>
        </w:trPr>
        <w:tc>
          <w:tcPr>
            <w:tcW w:w="15618" w:type="dxa"/>
            <w:gridSpan w:val="13"/>
            <w:vMerge w:val="restart"/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44"/>
        </w:trPr>
        <w:tc>
          <w:tcPr>
            <w:tcW w:w="15618" w:type="dxa"/>
            <w:gridSpan w:val="13"/>
            <w:vMerge/>
            <w:shd w:val="clear" w:color="auto" w:fill="auto"/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tcBorders>
              <w:bottom w:val="single" w:sz="5" w:space="0" w:color="000000"/>
            </w:tcBorders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специалист стоматолог Министерства здравоохранения Республики Коми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регионального центра общественного здоровья на базе Центра медицинской профилактики ГУ «Республиканский врачебно-физкультурный диспансер»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первичного центра общественного здоровья на базе 1 центра здоровья в ГБУЗ РК «Воркутинская поликлиника»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внедрение модели организации и функционирования первичного центра общественного здоровья на базе 3 центров здоровья ГБУЗ РК «Ухтинская городская поликлиника», ГБУЗ РК «Ухтинская детская больница», ГБУЗ РК «Сыктывкарская детская поликлиника»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889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85"/>
        </w:trPr>
        <w:tc>
          <w:tcPr>
            <w:tcW w:w="15618" w:type="dxa"/>
            <w:gridSpan w:val="13"/>
            <w:vMerge w:val="restart"/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201"/>
        </w:trPr>
        <w:tc>
          <w:tcPr>
            <w:tcW w:w="15618" w:type="dxa"/>
            <w:gridSpan w:val="13"/>
            <w:vMerge/>
            <w:shd w:val="clear" w:color="auto" w:fill="auto"/>
          </w:tcPr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43"/>
        </w:trPr>
        <w:tc>
          <w:tcPr>
            <w:tcW w:w="15618" w:type="dxa"/>
            <w:gridSpan w:val="13"/>
            <w:vMerge/>
            <w:shd w:val="clear" w:color="auto" w:fill="auto"/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tcBorders>
              <w:bottom w:val="single" w:sz="5" w:space="0" w:color="000000"/>
            </w:tcBorders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 образования внедрили муниципальные программы общественного здоровья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Босенко М.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координатор Всероссийского общественного движения «Волонтеры-медики»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A344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20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Лыюрова Т. М.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Заведующий Центром медицинской профилактики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17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58"/>
        </w:trPr>
        <w:tc>
          <w:tcPr>
            <w:tcW w:w="15618" w:type="dxa"/>
            <w:gridSpan w:val="13"/>
            <w:vMerge w:val="restart"/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229"/>
        </w:trPr>
        <w:tc>
          <w:tcPr>
            <w:tcW w:w="15618" w:type="dxa"/>
            <w:gridSpan w:val="13"/>
            <w:vMerge/>
            <w:shd w:val="clear" w:color="auto" w:fill="auto"/>
          </w:tcPr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43"/>
        </w:trPr>
        <w:tc>
          <w:tcPr>
            <w:tcW w:w="15618" w:type="dxa"/>
            <w:gridSpan w:val="13"/>
            <w:vMerge/>
            <w:shd w:val="clear" w:color="auto" w:fill="auto"/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tcBorders>
              <w:bottom w:val="single" w:sz="5" w:space="0" w:color="000000"/>
            </w:tcBorders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 ежегодный конкурс по отбору проектов на предоставление субсидий некоммерческим организациям, реализующим проекты по формированию приверженности здоровому образу жизни в соответствии с утвержденным и внедренным федеральным Порядком, размещены наилу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чшие проекты на официальном сайте Министерства здравоохранения Республики Коми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Семяшкин И. В.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2019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2020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2021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26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2022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86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 2023 год коммуникационной кампанией охвачено не менее 75% аудитории граждан старше 12 лет по основным каналам: телевидение, радио и в 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286"/>
        </w:trPr>
        <w:tc>
          <w:tcPr>
            <w:tcW w:w="15618" w:type="dxa"/>
            <w:gridSpan w:val="13"/>
            <w:vMerge w:val="restart"/>
            <w:shd w:val="clear" w:color="auto" w:fill="auto"/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144"/>
        </w:trPr>
        <w:tc>
          <w:tcPr>
            <w:tcW w:w="15618" w:type="dxa"/>
            <w:gridSpan w:val="13"/>
            <w:vMerge/>
            <w:shd w:val="clear" w:color="auto" w:fill="auto"/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tcBorders>
              <w:bottom w:val="single" w:sz="5" w:space="0" w:color="000000"/>
            </w:tcBorders>
          </w:tcPr>
          <w:p w:rsidR="00A344E5" w:rsidRDefault="00A344E5"/>
        </w:tc>
        <w:tc>
          <w:tcPr>
            <w:tcW w:w="7880" w:type="dxa"/>
            <w:gridSpan w:val="6"/>
          </w:tcPr>
          <w:p w:rsidR="00A344E5" w:rsidRDefault="00A344E5"/>
        </w:tc>
      </w:tr>
      <w:tr w:rsidR="00A344E5">
        <w:trPr>
          <w:trHeight w:hRule="exact" w:val="429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информационно-телекоммуникационной сети «Интернет»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 2024 год коммуникационной кампанией охвачено не менее 75% аудитории граждан старше 12 лет по основным каналам: телевидение, радио и в информационно-телекоммуникационной сети «Интернет»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обеспечено не менее 2 тысяч просмотров телевизионных и радиопрограмм, телевизионных документальных фильмов, Интернет-сайтов, направленных на пропаганду здорового образа жизни, физической культуры, спорта и здорового питания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7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2019 году тираж периодических печатных изданий, реализовавших проекты, направленные на пропаганду здорового образа жизни, физической культуры, спорта и здорового питания, составил не менее 10 тысяч экземпляров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430"/>
        </w:trPr>
        <w:tc>
          <w:tcPr>
            <w:tcW w:w="1561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A344E5" w:rsidRDefault="00A344E5"/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32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  <w:tr w:rsidR="00A344E5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34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Ломов В. Е.</w:t>
            </w:r>
          </w:p>
        </w:tc>
        <w:tc>
          <w:tcPr>
            <w:tcW w:w="32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</w:t>
            </w:r>
          </w:p>
        </w:tc>
        <w:tc>
          <w:tcPr>
            <w:tcW w:w="28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Александров Б. А.</w:t>
            </w:r>
          </w:p>
        </w:tc>
        <w:tc>
          <w:tcPr>
            <w:tcW w:w="22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4E5" w:rsidRDefault="007D6BD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</w:t>
            </w:r>
          </w:p>
        </w:tc>
        <w:tc>
          <w:tcPr>
            <w:tcW w:w="7880" w:type="dxa"/>
            <w:gridSpan w:val="6"/>
            <w:tcBorders>
              <w:left w:val="single" w:sz="5" w:space="0" w:color="000000"/>
            </w:tcBorders>
          </w:tcPr>
          <w:p w:rsidR="00A344E5" w:rsidRDefault="00A344E5"/>
        </w:tc>
      </w:tr>
    </w:tbl>
    <w:p w:rsidR="007D6BD1" w:rsidRDefault="007D6BD1"/>
    <w:sectPr w:rsidR="007D6BD1">
      <w:pgSz w:w="16848" w:h="11952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E5"/>
    <w:rsid w:val="007D6BD1"/>
    <w:rsid w:val="00874C9A"/>
    <w:rsid w:val="00A3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77CF8-AAB7-4F81-AB2F-3066B542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Pr>
      <w:rFonts w:ascii="Times New Roman" w:hAnsi="Times New Roman" w:cs="Times New Roman"/>
      <w:color w:val="000000"/>
      <w:spacing w:val="-2"/>
      <w:sz w:val="24"/>
    </w:rPr>
  </w:style>
  <w:style w:type="paragraph" w:customStyle="1" w:styleId="10">
    <w:name w:val="Стиль1"/>
    <w:basedOn w:val="a"/>
    <w:rPr>
      <w:rFonts w:ascii="Times New Roman" w:hAnsi="Times New Roman" w:cs="Times New Roman"/>
      <w:color w:val="000000"/>
      <w:spacing w:val="-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7986</Words>
  <Characters>45521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2019.3.4 from 5 August 2019</Company>
  <LinksUpToDate>false</LinksUpToDate>
  <CharactersWithSpaces>53401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2020-10-07T08:12:00Z</dcterms:created>
  <dcterms:modified xsi:type="dcterms:W3CDTF">2020-10-07T08:12:00Z</dcterms:modified>
</cp:coreProperties>
</file>