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573"/>
        <w:gridCol w:w="143"/>
        <w:gridCol w:w="144"/>
        <w:gridCol w:w="143"/>
        <w:gridCol w:w="2866"/>
        <w:gridCol w:w="286"/>
        <w:gridCol w:w="430"/>
        <w:gridCol w:w="860"/>
        <w:gridCol w:w="429"/>
        <w:gridCol w:w="430"/>
        <w:gridCol w:w="144"/>
        <w:gridCol w:w="429"/>
        <w:gridCol w:w="287"/>
        <w:gridCol w:w="287"/>
        <w:gridCol w:w="143"/>
        <w:gridCol w:w="143"/>
        <w:gridCol w:w="573"/>
        <w:gridCol w:w="144"/>
        <w:gridCol w:w="286"/>
        <w:gridCol w:w="573"/>
        <w:gridCol w:w="430"/>
        <w:gridCol w:w="143"/>
        <w:gridCol w:w="573"/>
        <w:gridCol w:w="430"/>
        <w:gridCol w:w="144"/>
        <w:gridCol w:w="143"/>
        <w:gridCol w:w="286"/>
        <w:gridCol w:w="717"/>
        <w:gridCol w:w="143"/>
        <w:gridCol w:w="287"/>
        <w:gridCol w:w="716"/>
        <w:gridCol w:w="430"/>
        <w:gridCol w:w="286"/>
        <w:gridCol w:w="430"/>
        <w:gridCol w:w="1132"/>
        <w:gridCol w:w="15"/>
      </w:tblGrid>
      <w:tr>
        <w:trPr>
          <w:trHeight w:hRule="exact" w:val="1003"/>
        </w:trPr>
        <w:tc>
          <w:tcPr>
            <w:tcW w:w="15618" w:type="dxa"/>
            <w:gridSpan w:val="36"/>
          </w:tcPr>
          <w:p/>
        </w:tc>
      </w:tr>
      <w:tr>
        <w:trPr>
          <w:trHeight w:hRule="exact" w:val="387"/>
        </w:trPr>
        <w:tc>
          <w:tcPr>
            <w:tcW w:w="15618" w:type="dxa"/>
            <w:gridSpan w:val="36"/>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П А С П О Р Т</w:t>
            </w:r>
          </w:p>
        </w:tc>
      </w:tr>
      <w:tr>
        <w:trPr>
          <w:trHeight w:hRule="exact" w:val="43"/>
        </w:trPr>
        <w:tc>
          <w:tcPr>
            <w:tcW w:w="15618" w:type="dxa"/>
            <w:gridSpan w:val="36"/>
          </w:tcPr>
          <w:p/>
        </w:tc>
      </w:tr>
      <w:tr>
        <w:trPr>
          <w:trHeight w:hRule="exact" w:val="387"/>
        </w:trPr>
        <w:tc>
          <w:tcPr>
            <w:tcW w:w="15618" w:type="dxa"/>
            <w:gridSpan w:val="36"/>
            <w:vAlign w:val="center"/>
            <w:shd w:val="clear" w:color="auto" w:fill="auto"/>
          </w:tcPr>
          <w:p>
            <w:pPr>
              <w:spacing w:line="230"/>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регионального проекта</w:t>
            </w:r>
          </w:p>
        </w:tc>
      </w:tr>
      <w:tr>
        <w:trPr>
          <w:trHeight w:hRule="exact" w:val="43"/>
        </w:trPr>
        <w:tc>
          <w:tcPr>
            <w:tcW w:w="15618" w:type="dxa"/>
            <w:gridSpan w:val="36"/>
          </w:tcPr>
          <w:p/>
        </w:tc>
      </w:tr>
      <w:tr>
        <w:trPr>
          <w:trHeight w:hRule="exact" w:val="573"/>
        </w:trPr>
        <w:tc>
          <w:tcPr>
            <w:tcW w:w="15618" w:type="dxa"/>
            <w:gridSpan w:val="36"/>
            <w:tcMar>
              <w:left w:w="72" w:type="dxa"/>
              <w:right w:w="72" w:type="dxa"/>
            </w:tcMar>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Формирование системы мотивации граждан к здоровому образу жизни, включая здоровое питание и отказ от вредных привычек  (Республика Коми)</w:t>
            </w:r>
          </w:p>
        </w:tc>
      </w:tr>
      <w:tr>
        <w:trPr>
          <w:trHeight w:hRule="exact" w:val="716"/>
        </w:trPr>
        <w:tc>
          <w:tcPr>
            <w:tcW w:w="15618" w:type="dxa"/>
            <w:gridSpan w:val="36"/>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1. Основные положения</w:t>
            </w:r>
          </w:p>
        </w:tc>
      </w:tr>
      <w:tr>
        <w:trPr>
          <w:trHeight w:hRule="exact" w:val="573"/>
        </w:trPr>
        <w:tc>
          <w:tcPr>
            <w:tcW w:w="4585" w:type="dxa"/>
            <w:gridSpan w:val="7"/>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федерального проекта</w:t>
            </w:r>
          </w:p>
        </w:tc>
        <w:tc>
          <w:tcPr>
            <w:tcW w:w="11033" w:type="dxa"/>
            <w:gridSpan w:val="29"/>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Формирование системы мотивации граждан к здоровому образу жизни, включая здоровое питание и отказ от вредных привычек </w:t>
            </w:r>
          </w:p>
        </w:tc>
      </w:tr>
      <w:tr>
        <w:trPr>
          <w:trHeight w:hRule="exact" w:val="573"/>
        </w:trPr>
        <w:tc>
          <w:tcPr>
            <w:tcW w:w="4585" w:type="dxa"/>
            <w:gridSpan w:val="7"/>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Краткое наименование регионального</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проекта</w:t>
            </w:r>
          </w:p>
        </w:tc>
        <w:tc>
          <w:tcPr>
            <w:tcW w:w="4728" w:type="dxa"/>
            <w:gridSpan w:val="13"/>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Укрепление общественного здоровья (Республика Коми)</w:t>
            </w:r>
          </w:p>
        </w:tc>
        <w:tc>
          <w:tcPr>
            <w:tcW w:w="3009" w:type="dxa"/>
            <w:gridSpan w:val="9"/>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 начала и</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окончания проекта</w:t>
            </w:r>
          </w:p>
        </w:tc>
        <w:tc>
          <w:tcPr>
            <w:tcW w:w="3296" w:type="dxa"/>
            <w:gridSpan w:val="7"/>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01.01.2019 - 31.12.2024</w:t>
            </w:r>
          </w:p>
        </w:tc>
      </w:tr>
      <w:tr>
        <w:trPr>
          <w:trHeight w:hRule="exact" w:val="574"/>
        </w:trPr>
        <w:tc>
          <w:tcPr>
            <w:tcW w:w="4585" w:type="dxa"/>
            <w:gridSpan w:val="7"/>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Куратор регионального проекта</w:t>
            </w:r>
          </w:p>
        </w:tc>
        <w:tc>
          <w:tcPr>
            <w:tcW w:w="11033" w:type="dxa"/>
            <w:gridSpan w:val="29"/>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Михальченкова Наталья Алексеевна, Заместитель Председателя Правительства Республики Коми</w:t>
            </w:r>
          </w:p>
        </w:tc>
      </w:tr>
      <w:tr>
        <w:trPr>
          <w:trHeight w:hRule="exact" w:val="573"/>
        </w:trPr>
        <w:tc>
          <w:tcPr>
            <w:tcW w:w="4585" w:type="dxa"/>
            <w:gridSpan w:val="7"/>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Руководитель регионального проекта</w:t>
            </w:r>
          </w:p>
        </w:tc>
        <w:tc>
          <w:tcPr>
            <w:tcW w:w="11033" w:type="dxa"/>
            <w:gridSpan w:val="29"/>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Дмитрий Борисович, министр здравоохранения Республики Коми</w:t>
            </w:r>
          </w:p>
        </w:tc>
      </w:tr>
      <w:tr>
        <w:trPr>
          <w:trHeight w:hRule="exact" w:val="573"/>
        </w:trPr>
        <w:tc>
          <w:tcPr>
            <w:tcW w:w="4585" w:type="dxa"/>
            <w:gridSpan w:val="7"/>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Администратор регионального проекта</w:t>
            </w:r>
          </w:p>
        </w:tc>
        <w:tc>
          <w:tcPr>
            <w:tcW w:w="11033" w:type="dxa"/>
            <w:gridSpan w:val="29"/>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Дмитрий Борисович, министр здравоохранения Республики Коми</w:t>
            </w:r>
          </w:p>
        </w:tc>
      </w:tr>
      <w:tr>
        <w:trPr>
          <w:trHeight w:hRule="exact" w:val="573"/>
        </w:trPr>
        <w:tc>
          <w:tcPr>
            <w:tcW w:w="4585" w:type="dxa"/>
            <w:gridSpan w:val="7"/>
            <w:tcMar>
              <w:lef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Связь с государственными программами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субъекта Российской Федерации</w:t>
            </w:r>
          </w:p>
        </w:tc>
        <w:tc>
          <w:tcPr>
            <w:tcW w:w="11033" w:type="dxa"/>
            <w:gridSpan w:val="29"/>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Государственная программа Республики Коми "Развитие здравоохранения"</w:t>
            </w:r>
          </w:p>
        </w:tc>
      </w:tr>
      <w:tr>
        <w:trPr>
          <w:trHeight w:hRule="exact" w:val="2493"/>
        </w:trPr>
        <w:tc>
          <w:tcPr>
            <w:tcW w:w="15618" w:type="dxa"/>
            <w:gridSpan w:val="36"/>
            <w:tcBorders>
              <w:top w:val="single" w:sz="5" w:space="0" w:color="000000"/>
            </w:tcBorders>
          </w:tcPr>
          <w:p/>
        </w:tc>
      </w:tr>
      <w:tr>
        <w:trPr>
          <w:trHeight w:hRule="exact" w:val="2493"/>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r>
      <w:tr>
        <w:trPr>
          <w:trHeight w:hRule="exact" w:val="430"/>
        </w:trPr>
        <w:tc>
          <w:tcPr>
            <w:tcW w:w="15618" w:type="dxa"/>
            <w:gridSpan w:val="36"/>
          </w:tcPr>
          <w:p/>
        </w:tc>
      </w:tr>
      <w:tr>
        <w:trPr>
          <w:trHeight w:hRule="exact" w:val="573"/>
        </w:trPr>
        <w:tc>
          <w:tcPr>
            <w:tcW w:w="15618" w:type="dxa"/>
            <w:gridSpan w:val="36"/>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2. Цель и показатели регионального проекта</w:t>
            </w:r>
          </w:p>
        </w:tc>
      </w:tr>
      <w:tr>
        <w:trPr>
          <w:trHeight w:hRule="exact" w:val="1762"/>
        </w:trPr>
        <w:tc>
          <w:tcPr>
            <w:tcW w:w="15618" w:type="dxa"/>
            <w:gridSpan w:val="3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Формирование системы мотивации граждан к здоровому образу жизни, включая здоровое питание и отказ от вредных привычек. Обеспечение к 2024 году увеличения доли граждан, ведущих здоровый образ жизни, за счет формирования среды, способствующей ведению гражданами здорового образа жизни, включая здоровое питание (в том числе ликвидацию микронутриентной недостаточности, сокращение потребления соли и сахара), защиту от табачного дыма, снижение потребления алкоголя; а также за счет мотивирования граждан к ведению здорового образа жизни посредством информационно-коммуникационной кампании,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 (Республика Коми)</w:t>
            </w:r>
          </w:p>
        </w:tc>
      </w:tr>
      <w:tr>
        <w:trPr>
          <w:trHeight w:hRule="exact" w:val="430"/>
        </w:trPr>
        <w:tc>
          <w:tcPr>
            <w:tcW w:w="573" w:type="dxa"/>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012"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показателя</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Тип показателя</w:t>
            </w:r>
          </w:p>
        </w:tc>
        <w:tc>
          <w:tcPr>
            <w:tcW w:w="229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Базовое значение</w:t>
            </w:r>
          </w:p>
        </w:tc>
        <w:tc>
          <w:tcPr>
            <w:tcW w:w="6878"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Период, год</w:t>
            </w:r>
          </w:p>
        </w:tc>
      </w:tr>
      <w:tr>
        <w:trPr>
          <w:trHeight w:hRule="exact" w:val="430"/>
        </w:trPr>
        <w:tc>
          <w:tcPr>
            <w:tcW w:w="573" w:type="dxa"/>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012"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0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значение</w:t>
            </w:r>
          </w:p>
        </w:tc>
        <w:tc>
          <w:tcPr>
            <w:tcW w:w="128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дата</w:t>
            </w:r>
          </w:p>
        </w:tc>
        <w:tc>
          <w:tcPr>
            <w:tcW w:w="114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14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14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14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14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14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r>
      <w:tr>
        <w:trPr>
          <w:trHeight w:hRule="exact" w:val="286"/>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012"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0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28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14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14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114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114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114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114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r>
      <w:tr>
        <w:trPr>
          <w:trHeight w:hRule="exact" w:val="445"/>
        </w:trPr>
        <w:tc>
          <w:tcPr>
            <w:tcW w:w="15618" w:type="dxa"/>
            <w:gridSpan w:val="3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Отсутствует показатель федерального проекта</w:t>
            </w:r>
          </w:p>
        </w:tc>
      </w:tr>
      <w:tr>
        <w:trPr>
          <w:trHeight w:hRule="exact" w:val="716"/>
        </w:trPr>
        <w:tc>
          <w:tcPr>
            <w:tcW w:w="573"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4012"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сигарет и папирос на душу населения, тыс. шт;</w:t>
            </w:r>
          </w:p>
        </w:tc>
        <w:tc>
          <w:tcPr>
            <w:tcW w:w="1863"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Дополнительный показатель</w:t>
            </w:r>
          </w:p>
        </w:tc>
        <w:tc>
          <w:tcPr>
            <w:tcW w:w="1003"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2,0500</w:t>
            </w:r>
          </w:p>
        </w:tc>
        <w:tc>
          <w:tcPr>
            <w:tcW w:w="1289" w:type="dxa"/>
            <w:gridSpan w:val="5"/>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1,9500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1,8500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1,7500</w:t>
            </w:r>
          </w:p>
        </w:tc>
        <w:tc>
          <w:tcPr>
            <w:tcW w:w="1147"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1,7000</w:t>
            </w:r>
          </w:p>
        </w:tc>
      </w:tr>
      <w:tr>
        <w:trPr>
          <w:trHeight w:hRule="exact" w:val="974"/>
        </w:trPr>
        <w:tc>
          <w:tcPr>
            <w:tcW w:w="573"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c>
          <w:tcPr>
            <w:tcW w:w="4012"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Обращаемость в медицинские организации по вопросам здорового образа жизни, ТЫС ЧЕЛ</w:t>
            </w:r>
          </w:p>
        </w:tc>
        <w:tc>
          <w:tcPr>
            <w:tcW w:w="1863"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Дополнительный показатель</w:t>
            </w:r>
          </w:p>
        </w:tc>
        <w:tc>
          <w:tcPr>
            <w:tcW w:w="1003"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2,5000</w:t>
            </w:r>
          </w:p>
        </w:tc>
        <w:tc>
          <w:tcPr>
            <w:tcW w:w="1289" w:type="dxa"/>
            <w:gridSpan w:val="5"/>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4,2000</w:t>
            </w:r>
          </w:p>
        </w:tc>
        <w:tc>
          <w:tcPr>
            <w:tcW w:w="1147"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4,5000</w:t>
            </w:r>
          </w:p>
        </w:tc>
      </w:tr>
      <w:tr>
        <w:trPr>
          <w:trHeight w:hRule="exact" w:val="444"/>
        </w:trPr>
        <w:tc>
          <w:tcPr>
            <w:tcW w:w="15618" w:type="dxa"/>
            <w:gridSpan w:val="3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алкогольной продукции на душу населения (в литрах этанола)</w:t>
            </w:r>
          </w:p>
        </w:tc>
      </w:tr>
      <w:tr>
        <w:trPr>
          <w:trHeight w:hRule="exact" w:val="975"/>
        </w:trPr>
        <w:tc>
          <w:tcPr>
            <w:tcW w:w="573"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4012"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алкогольной продукции на душу населения (в литрах этанола), л 100% спирта</w:t>
            </w:r>
          </w:p>
        </w:tc>
        <w:tc>
          <w:tcPr>
            <w:tcW w:w="1863"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w:t>
            </w:r>
          </w:p>
        </w:tc>
        <w:tc>
          <w:tcPr>
            <w:tcW w:w="1003"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10,1000</w:t>
            </w:r>
          </w:p>
        </w:tc>
        <w:tc>
          <w:tcPr>
            <w:tcW w:w="1289" w:type="dxa"/>
            <w:gridSpan w:val="5"/>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31.12.2016</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9,8000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9,6000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9,5000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9,4000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9,3000</w:t>
            </w:r>
          </w:p>
        </w:tc>
        <w:tc>
          <w:tcPr>
            <w:tcW w:w="1147"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9,2000</w:t>
            </w:r>
          </w:p>
        </w:tc>
      </w:tr>
      <w:tr>
        <w:trPr>
          <w:trHeight w:hRule="exact" w:val="444"/>
        </w:trPr>
        <w:tc>
          <w:tcPr>
            <w:tcW w:w="15618" w:type="dxa"/>
            <w:gridSpan w:val="3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женщин в возрасте  16-54 лет </w:t>
            </w:r>
          </w:p>
        </w:tc>
      </w:tr>
      <w:tr>
        <w:trPr>
          <w:trHeight w:hRule="exact" w:val="716"/>
        </w:trPr>
        <w:tc>
          <w:tcPr>
            <w:tcW w:w="573"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4012"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женщин в возрасте  16-54 лет , кг/м2</w:t>
            </w:r>
          </w:p>
        </w:tc>
        <w:tc>
          <w:tcPr>
            <w:tcW w:w="1863"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w:t>
            </w:r>
          </w:p>
        </w:tc>
        <w:tc>
          <w:tcPr>
            <w:tcW w:w="1003"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259,3000</w:t>
            </w:r>
          </w:p>
        </w:tc>
        <w:tc>
          <w:tcPr>
            <w:tcW w:w="1289" w:type="dxa"/>
            <w:gridSpan w:val="5"/>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253,9000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250,1000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246,4000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242,7000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237,8000</w:t>
            </w:r>
          </w:p>
        </w:tc>
        <w:tc>
          <w:tcPr>
            <w:tcW w:w="1147"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232,8000</w:t>
            </w:r>
          </w:p>
        </w:tc>
      </w:tr>
      <w:tr>
        <w:trPr>
          <w:trHeight w:hRule="exact" w:val="444"/>
        </w:trPr>
        <w:tc>
          <w:tcPr>
            <w:tcW w:w="15618" w:type="dxa"/>
            <w:gridSpan w:val="3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мужчин в возрасте  16-59 лет </w:t>
            </w:r>
          </w:p>
        </w:tc>
      </w:tr>
      <w:tr>
        <w:trPr>
          <w:trHeight w:hRule="exact" w:val="717"/>
        </w:trPr>
        <w:tc>
          <w:tcPr>
            <w:tcW w:w="573" w:type="dxa"/>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4012"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мужчин в возрасте  16-59 лет , кг/м2</w:t>
            </w:r>
          </w:p>
        </w:tc>
        <w:tc>
          <w:tcPr>
            <w:tcW w:w="1863" w:type="dxa"/>
            <w:gridSpan w:val="4"/>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Основной показатель</w:t>
            </w:r>
          </w:p>
        </w:tc>
        <w:tc>
          <w:tcPr>
            <w:tcW w:w="1003"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899,7000</w:t>
            </w:r>
          </w:p>
        </w:tc>
        <w:tc>
          <w:tcPr>
            <w:tcW w:w="1289" w:type="dxa"/>
            <w:gridSpan w:val="5"/>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31.12.2017</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834,0000</w:t>
            </w:r>
          </w:p>
        </w:tc>
        <w:tc>
          <w:tcPr>
            <w:tcW w:w="1147"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792,5000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750,9000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715,4000</w:t>
            </w:r>
          </w:p>
        </w:tc>
        <w:tc>
          <w:tcPr>
            <w:tcW w:w="1146" w:type="dxa"/>
            <w:gridSpan w:val="3"/>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684,8000</w:t>
            </w:r>
          </w:p>
        </w:tc>
        <w:tc>
          <w:tcPr>
            <w:tcW w:w="1147" w:type="dxa"/>
            <w:gridSpan w:val="2"/>
            <w:tcMar>
              <w:top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649,0000</w:t>
            </w:r>
          </w:p>
        </w:tc>
      </w:tr>
      <w:tr>
        <w:trPr>
          <w:trHeight w:hRule="exact" w:val="1375"/>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r>
      <w:tr>
        <w:trPr>
          <w:trHeight w:hRule="exact" w:val="430"/>
        </w:trPr>
        <w:tc>
          <w:tcPr>
            <w:tcW w:w="15618" w:type="dxa"/>
            <w:gridSpan w:val="36"/>
          </w:tcPr>
          <w:p/>
        </w:tc>
      </w:tr>
      <w:tr>
        <w:trPr>
          <w:trHeight w:hRule="exact" w:val="573"/>
        </w:trPr>
        <w:tc>
          <w:tcPr>
            <w:tcW w:w="15618" w:type="dxa"/>
            <w:gridSpan w:val="36"/>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3. Результаты регионального проекта</w:t>
            </w: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716"/>
        </w:trPr>
        <w:tc>
          <w:tcPr>
            <w:tcW w:w="15618" w:type="dxa"/>
            <w:gridSpan w:val="3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Задача национального проекта (справочно из паспорта федерального проекта): Формирование системы мотивации граждан к здоровому образу жизни, включая здоровое питание и отказ от вредных привычек </w:t>
            </w:r>
            <w:r>
              <w:rPr>
                <w:color w:val="FFFFFF"/>
                <w:sz w:val="24"/>
                <w:szCs w:val="24"/>
                <w:rFonts w:ascii="Times New Roman" w:hAnsi="Times New Roman" w:eastAsia="Times New Roman" w:cs="Times New Roman"/>
                <w:spacing w:val="-2"/>
              </w:rPr>
              <w:t xml:space="preserve">0</w:t>
            </w:r>
          </w:p>
          <w:p/>
        </w:tc>
      </w:tr>
      <w:tr>
        <w:trPr>
          <w:trHeight w:hRule="exact" w:val="2292"/>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14902" w:type="dxa"/>
            <w:gridSpan w:val="3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Результат федерального проекта (справочно из паспорта федерального проекта): Субъекты Российской Федерации обеспечили внедрение модели организации и функционирования центров общественного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Характеристика результата федерального проекта (справочно из паспорта федерального проекта): </w:t>
            </w:r>
            <w:r>
              <w:rPr>
                <w:sz w:val="24"/>
                <w:szCs w:val="24"/>
                <w:rFonts w:ascii="Times New Roman" w:hAnsi="Times New Roman" w:eastAsia="Times New Roman" w:cs="Times New Roman"/>
                <w:spacing w:val="-2"/>
              </w:rPr>
              <w:t xml:space="preserve">Во всех (85) субъектах Российской Федерации органами исполнительной власти субъектов Российской Федерации и органами местного самоуправления с организационно-методическим сопровождением НМИЦ профилактической медицины Минздрава России будет осуществлено внедрение новой модели организации и функционирования центров общественного здоровья, включая создание н</w:t>
            </w:r>
            <w:r>
              <w:rPr>
                <w:sz w:val="24"/>
                <w:szCs w:val="24"/>
                <w:rFonts w:ascii="Times New Roman" w:hAnsi="Times New Roman" w:eastAsia="Times New Roman" w:cs="Times New Roman"/>
                <w:spacing w:val="-2"/>
              </w:rPr>
              <w:t xml:space="preserve">а базе центров здоровья и центров медицинской профилактики первичных (межмуниципальные) и региональных центров общественного здоровья</w:t>
            </w:r>
            <w:r>
              <w:rPr>
                <w:sz w:val="24"/>
                <w:szCs w:val="24"/>
                <w:rFonts w:ascii="Times New Roman" w:hAnsi="Times New Roman" w:eastAsia="Times New Roman" w:cs="Times New Roman"/>
                <w:spacing w:val="-2"/>
              </w:rPr>
              <w:t xml:space="preserve">, внедрение новой учетно-отчетной документации.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Срок (справочно из паспорта федерального проекта): 01.01.2021</w:t>
            </w:r>
          </w:p>
          <w:p/>
        </w:tc>
      </w:tr>
      <w:tr>
        <w:trPr>
          <w:trHeight w:hRule="exact" w:val="1118"/>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Субъекты Российской Федерации обеспечили внедрение модели организации и функционирования центров общественного здоровья.</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Во всех (85) субъектах Российской Федерации органами исполнительной власти субъектов Российской Федерации и органами местного самоуправления с организационно-методическим сопровождением НМИЦ профилактической медицины Минздрава России будет 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r>
      <w:tr>
        <w:trPr>
          <w:trHeight w:hRule="exact" w:val="1433"/>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tcMar>
              <w:top w:w="72" w:type="dxa"/>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_________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934"/>
        </w:trPr>
        <w:tc>
          <w:tcPr>
            <w:tcW w:w="15618" w:type="dxa"/>
            <w:gridSpan w:val="36"/>
            <w:tcBorders>
              <w:top w:val="single" w:sz="5" w:space="0" w:color="000000"/>
            </w:tcBorders>
          </w:tcPr>
          <w:p/>
        </w:tc>
      </w:tr>
      <w:tr>
        <w:trPr>
          <w:trHeight w:hRule="exact" w:val="1934"/>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620"/>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4902" w:type="dxa"/>
            <w:gridSpan w:val="3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Результат федерального проекта (справочно из паспорта федерального проекта): Муниципальные образования внедрили муниципальные программы общественного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Характеристика результата федерального проекта (справочно из паспорта федерального проекта): </w:t>
            </w:r>
            <w:r>
              <w:rPr>
                <w:sz w:val="10"/>
                <w:szCs w:val="1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100% муниципальных образований на основании рекомендованной Минздравом России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(нарастающим итогом), предусмотрено соответствующее финансирование.</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соответствии с данными программами будет продолжена реализация мероприятий по снижению действия основных факторов риска НИЗ, первичной профилактике заболеваний полости рта, а также мероприятий, направленных на профилактику заболеваний репродуктивной сферы у мужчин.</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Срок (справочно из паспорта федерального проекта): 15.12.2024</w:t>
            </w:r>
          </w:p>
          <w:p/>
        </w:tc>
      </w:tr>
      <w:tr>
        <w:trPr>
          <w:trHeight w:hRule="exact" w:val="1619"/>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902" w:type="dxa"/>
            <w:gridSpan w:val="3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859"/>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Муниципальные образования внедрили муниципальные программы общественного здоровья</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10"/>
                <w:szCs w:val="1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100% муниципальных образований на основании рекомендованной Минздравом России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(нарастающим итогом), предусмотрено соответствующее финансирование.</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соответствии с данными программами будет продолжена реализация мероприятий по снижению действия основных факторов риска НИЗ, первичной профилактике заболеваний полости рта, а также мероприятий, направленных на профилактику заболеваний репродуктивной сферы у мужчин.</w:t>
            </w:r>
          </w:p>
          <w:p/>
        </w:tc>
      </w:tr>
      <w:tr>
        <w:trPr>
          <w:trHeight w:hRule="exact" w:val="1634"/>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15.12.2020 - 20 ПРОЦ</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15.12.2021 - 40 ПРОЦ</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15.12.2022 - 60 ПРОЦ</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15.12.2023 - 80 ПРОЦ</w:t>
            </w:r>
          </w:p>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15.12.2024 - 100 ПРОЦ</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33"/>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636"/>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286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4902" w:type="dxa"/>
            <w:gridSpan w:val="3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Результат федерального проекта (справочно из паспорта федерального проекта): Внедрены корпоративные программы, содержащие наилучшие практики по укреплению здоровья работников</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Характеристика результата федерального проекта (справочно из паспорта федерального проекта):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 итогам пилотного проекта будет проработан вопрос о необходимости внесения изменений в законодательство Российской Федерации, включая Трудовой кодекс Российской Федерации, предусматривающие необходимость для работодателей внедрять корпоративные программы по укреплению здоровья работников.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субъектах Российской Федерации с организационно-методическим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информационно-разъяснительная работа с работодателями в целях внедрения корпоративных программ по укреплению здоровья работников.</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Работодателями будут проведены мероприятия, указанные в корпоративных программах,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 отказа от курения и употребления алкогольных напитков, перехода на здоровое питание.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Примеры наилучших результатов по проведению корпоративных программ будут опубликованы на сайте Минздрава России, интернет-сайтах органов исполнительной власти пилотных регионов и в средствах массовой информации в рамках информационно-коммуникационной кампании.</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Срок (справочно из паспорта федерального проекта): 15.12.2024</w:t>
            </w:r>
          </w:p>
          <w:p/>
        </w:tc>
      </w:tr>
      <w:tr>
        <w:trPr>
          <w:trHeight w:hRule="exact" w:val="286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902" w:type="dxa"/>
            <w:gridSpan w:val="3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19"/>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902" w:type="dxa"/>
            <w:gridSpan w:val="3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0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14902" w:type="dxa"/>
            <w:gridSpan w:val="3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15"/>
        </w:trPr>
        <w:tc>
          <w:tcPr>
            <w:tcW w:w="716"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021" w:type="dxa"/>
            <w:gridSpan w:val="14"/>
            <w:tcMar>
              <w:top w:w="72" w:type="dxa"/>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576" w:type="dxa"/>
            <w:gridSpan w:val="4"/>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6305" w:type="dxa"/>
            <w:gridSpan w:val="1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184"/>
            </w:pPr>
          </w:p>
          <w:p/>
        </w:tc>
      </w:tr>
      <w:tr>
        <w:trPr>
          <w:trHeight w:hRule="exact" w:val="429"/>
        </w:trPr>
        <w:tc>
          <w:tcPr>
            <w:tcW w:w="716" w:type="dxa"/>
            <w:gridSpan w:val="2"/>
            <w:tcBorders>
              <w:top w:val="single" w:sz="5" w:space="0" w:color="000000"/>
            </w:tcBorders>
          </w:tcPr>
          <w:p/>
        </w:tc>
        <w:tc>
          <w:tcPr>
            <w:tcW w:w="7021" w:type="dxa"/>
            <w:gridSpan w:val="14"/>
          </w:tcPr>
          <w:p/>
        </w:tc>
        <w:tc>
          <w:tcPr>
            <w:tcW w:w="7881" w:type="dxa"/>
            <w:gridSpan w:val="20"/>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644"/>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Внедрены корпоративные программы, содержащие наилучшие практики по укреплению здоровья работников</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15.12.2021</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 итогам пилотного проекта будет проработан вопрос о необходимости внесения изменений в законодательство Российской Федерации, включая Трудовой кодекс Российской Федерации, предусматривающие необходимость для работодателей внедрять корпоративные программы по укреплению здоровья работников.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субъектах Российской Федерации с организационно-методическим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информационно-разъяснительная работа с работодателями в целях внедрения корпоративных программ по укреплению здоровья работников.</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Работодателями будут проведены мероприятия, указанные в корпоративных программах,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 отказа от курения и употребления алкогольных напитков, перехода на здоровое питание.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Примеры наилучших результатов по проведению корпоративных программ будут опубликованы на сайте Минздрава России, интернет-сайтах органов исполнительной власти пилотных регионов и в средствах массовой информации в рамках информационно-коммуникационной кампании.</w:t>
            </w:r>
          </w:p>
          <w:p>
            <w:pPr>
              <w:rPr>
                <w:rFonts w:ascii="Times New Roman" w:hAnsi="Times New Roman" w:eastAsia="Times New Roman" w:cs="Times New Roman"/>
                <w:color w:val="000000"/>
                <w:sz w:val="24"/>
                <w:spacing w:val="-2"/>
              </w:rPr>
              <w:spacing w:line="230"/>
            </w:pPr>
          </w:p>
          <w:p/>
        </w:tc>
      </w:tr>
      <w:tr>
        <w:trPr>
          <w:trHeight w:hRule="exact" w:val="2866"/>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15.12.2021 - 1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05"/>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91"/>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805"/>
        </w:trPr>
        <w:tc>
          <w:tcPr>
            <w:tcW w:w="716" w:type="dxa"/>
            <w:gridSpan w:val="2"/>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7021" w:type="dxa"/>
            <w:gridSpan w:val="14"/>
            <w:tcMar>
              <w:top w:w="72" w:type="dxa"/>
              <w:left w:w="287"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576" w:type="dxa"/>
            <w:gridSpan w:val="4"/>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6305" w:type="dxa"/>
            <w:gridSpan w:val="1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p>
          <w:p/>
        </w:tc>
      </w:tr>
      <w:tr>
        <w:trPr>
          <w:trHeight w:hRule="exact" w:val="430"/>
        </w:trPr>
        <w:tc>
          <w:tcPr>
            <w:tcW w:w="15618" w:type="dxa"/>
            <w:gridSpan w:val="3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7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4902" w:type="dxa"/>
            <w:gridSpan w:val="3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Собственные результаты</w:t>
            </w:r>
          </w:p>
          <w:p/>
        </w:tc>
      </w:tr>
      <w:tr>
        <w:trPr>
          <w:trHeight w:hRule="exact" w:val="1390"/>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Обеспечено внедрение модели организации и функционирования регионального центра общественного здоровья на базе Центра медицинской профилактики ГУ «Республиканский врачебно-физкультурный диспансер»</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15.12.2020</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r>
      <w:tr>
        <w:trPr>
          <w:trHeight w:hRule="exact" w:val="573"/>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tcMar>
              <w:top w:w="72" w:type="dxa"/>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15.12.2020 - 1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18"/>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Обеспечено внедрение модели организации и функционирования первичного центра общественного здоровья на базе 1 центра здоровья в ГБУЗ РК «Воркутинская поликлиника»</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r>
      <w:tr>
        <w:trPr>
          <w:trHeight w:hRule="exact" w:val="573"/>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tcMar>
              <w:top w:w="72" w:type="dxa"/>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15.12.2024 - 1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36"/>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430"/>
        </w:trPr>
        <w:tc>
          <w:tcPr>
            <w:tcW w:w="15618" w:type="dxa"/>
            <w:gridSpan w:val="36"/>
            <w:tcBorders>
              <w:bottom w:val="single" w:sz="5" w:space="0" w:color="000000"/>
            </w:tcBorders>
          </w:tcPr>
          <w:p/>
        </w:tc>
      </w:tr>
      <w:tr>
        <w:trPr>
          <w:trHeight w:hRule="exact" w:val="429"/>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662"/>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Обеспечено внедрение модели организации и функционирования первичного центра общественного здоровья на базе 3 центров здоровья ГБУЗ РК «Ухтинская городская поликлиника», ГБУЗ РК «Ухтинская детская больница», ГБУЗ РК «Сыктывкарская детская поликлиника»</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r>
      <w:tr>
        <w:trPr>
          <w:trHeight w:hRule="exact" w:val="573"/>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tcMar>
              <w:top w:w="72" w:type="dxa"/>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15.12.2024 - 3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07"/>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4.4</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30.07.2019</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r>
      <w:tr>
        <w:trPr>
          <w:trHeight w:hRule="exact" w:val="1633"/>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30.07.2019 - 1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1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307"/>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430"/>
        </w:trPr>
        <w:tc>
          <w:tcPr>
            <w:tcW w:w="15618" w:type="dxa"/>
            <w:gridSpan w:val="36"/>
            <w:tcBorders>
              <w:bottom w:val="single" w:sz="5" w:space="0" w:color="000000"/>
            </w:tcBorders>
          </w:tcPr>
          <w:p/>
        </w:tc>
      </w:tr>
      <w:tr>
        <w:trPr>
          <w:trHeight w:hRule="exact" w:val="429"/>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2206"/>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30.07.2020</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r>
      <w:tr>
        <w:trPr>
          <w:trHeight w:hRule="exact" w:val="1634"/>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30.07.2020 - 1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1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78"/>
        </w:trPr>
        <w:tc>
          <w:tcPr>
            <w:tcW w:w="15618" w:type="dxa"/>
            <w:gridSpan w:val="36"/>
            <w:tcBorders>
              <w:top w:val="single" w:sz="5" w:space="0" w:color="000000"/>
            </w:tcBorders>
          </w:tcPr>
          <w:p/>
        </w:tc>
      </w:tr>
      <w:tr>
        <w:trPr>
          <w:trHeight w:hRule="exact" w:val="2264"/>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r>
      <w:tr>
        <w:trPr>
          <w:trHeight w:hRule="exact" w:val="430"/>
        </w:trPr>
        <w:tc>
          <w:tcPr>
            <w:tcW w:w="15618" w:type="dxa"/>
            <w:gridSpan w:val="36"/>
            <w:tcBorders>
              <w:bottom w:val="single" w:sz="5" w:space="0" w:color="000000"/>
            </w:tcBorders>
          </w:tcPr>
          <w:p/>
        </w:tc>
      </w:tr>
      <w:tr>
        <w:trPr>
          <w:trHeight w:hRule="exact" w:val="429"/>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2206"/>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30.07.2021</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r>
      <w:tr>
        <w:trPr>
          <w:trHeight w:hRule="exact" w:val="1634"/>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30.07.2021 - 1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1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78"/>
        </w:trPr>
        <w:tc>
          <w:tcPr>
            <w:tcW w:w="15618" w:type="dxa"/>
            <w:gridSpan w:val="36"/>
            <w:tcBorders>
              <w:top w:val="single" w:sz="5" w:space="0" w:color="000000"/>
            </w:tcBorders>
          </w:tcPr>
          <w:p/>
        </w:tc>
      </w:tr>
      <w:tr>
        <w:trPr>
          <w:trHeight w:hRule="exact" w:val="2278"/>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2207"/>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4.7</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30.07.2022</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r>
      <w:tr>
        <w:trPr>
          <w:trHeight w:hRule="exact" w:val="1633"/>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30.07.2022 - 1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1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78"/>
        </w:trPr>
        <w:tc>
          <w:tcPr>
            <w:tcW w:w="15618" w:type="dxa"/>
            <w:gridSpan w:val="36"/>
            <w:tcBorders>
              <w:top w:val="single" w:sz="5" w:space="0" w:color="000000"/>
            </w:tcBorders>
          </w:tcPr>
          <w:p/>
        </w:tc>
      </w:tr>
      <w:tr>
        <w:trPr>
          <w:trHeight w:hRule="exact" w:val="2264"/>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2207"/>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4.8</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30.07.2023</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r>
      <w:tr>
        <w:trPr>
          <w:trHeight w:hRule="exact" w:val="1633"/>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30.07.2023 - 1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1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78"/>
        </w:trPr>
        <w:tc>
          <w:tcPr>
            <w:tcW w:w="15618" w:type="dxa"/>
            <w:gridSpan w:val="36"/>
            <w:tcBorders>
              <w:top w:val="single" w:sz="5" w:space="0" w:color="000000"/>
            </w:tcBorders>
          </w:tcPr>
          <w:p/>
        </w:tc>
      </w:tr>
      <w:tr>
        <w:trPr>
          <w:trHeight w:hRule="exact" w:val="2264"/>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2207"/>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4.9</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30.07.2024</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r>
      <w:tr>
        <w:trPr>
          <w:trHeight w:hRule="exact" w:val="1633"/>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30.07.2024 - 1 шт</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1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278"/>
        </w:trPr>
        <w:tc>
          <w:tcPr>
            <w:tcW w:w="15618" w:type="dxa"/>
            <w:gridSpan w:val="36"/>
            <w:tcBorders>
              <w:top w:val="single" w:sz="5" w:space="0" w:color="000000"/>
            </w:tcBorders>
          </w:tcPr>
          <w:p/>
        </w:tc>
      </w:tr>
      <w:tr>
        <w:trPr>
          <w:trHeight w:hRule="exact" w:val="2264"/>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390"/>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4.10</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2019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15.12.2019</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tc>
      </w:tr>
      <w:tr>
        <w:trPr>
          <w:trHeight w:hRule="exact" w:val="2565"/>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15.12.2019 - 75 ПРОЦ</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55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63"/>
        </w:trPr>
        <w:tc>
          <w:tcPr>
            <w:tcW w:w="15618" w:type="dxa"/>
            <w:gridSpan w:val="36"/>
            <w:tcBorders>
              <w:top w:val="single" w:sz="5" w:space="0" w:color="000000"/>
            </w:tcBorders>
          </w:tcPr>
          <w:p/>
        </w:tc>
      </w:tr>
      <w:tr>
        <w:trPr>
          <w:trHeight w:hRule="exact" w:val="1748"/>
        </w:trPr>
        <w:tc>
          <w:tcPr>
            <w:tcW w:w="15618" w:type="dxa"/>
            <w:gridSpan w:val="36"/>
          </w:tcPr>
          <w:p/>
        </w:tc>
      </w:tr>
      <w:tr>
        <w:trPr>
          <w:trHeight w:hRule="exact" w:val="429"/>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390"/>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4.11</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2020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15.12.2020</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pPr>
          </w:p>
          <w:p/>
        </w:tc>
      </w:tr>
      <w:tr>
        <w:trPr>
          <w:trHeight w:hRule="exact" w:val="245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15.12.2020 - 75 ПРОЦ</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35"/>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63"/>
        </w:trPr>
        <w:tc>
          <w:tcPr>
            <w:tcW w:w="15618" w:type="dxa"/>
            <w:gridSpan w:val="36"/>
            <w:tcBorders>
              <w:top w:val="single" w:sz="5" w:space="0" w:color="000000"/>
            </w:tcBorders>
          </w:tcPr>
          <w:p/>
        </w:tc>
      </w:tr>
      <w:tr>
        <w:trPr>
          <w:trHeight w:hRule="exact" w:val="1863"/>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390"/>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4.12</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2021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15.12.2021</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pPr>
          </w:p>
          <w:p/>
        </w:tc>
      </w:tr>
      <w:tr>
        <w:trPr>
          <w:trHeight w:hRule="exact" w:val="245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15.12.2021 - 75 ПРОЦ</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35"/>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63"/>
        </w:trPr>
        <w:tc>
          <w:tcPr>
            <w:tcW w:w="15618" w:type="dxa"/>
            <w:gridSpan w:val="36"/>
            <w:tcBorders>
              <w:top w:val="single" w:sz="5" w:space="0" w:color="000000"/>
            </w:tcBorders>
          </w:tcPr>
          <w:p/>
        </w:tc>
      </w:tr>
      <w:tr>
        <w:trPr>
          <w:trHeight w:hRule="exact" w:val="1863"/>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390"/>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4.13</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2022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15.12.2022</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pPr>
          </w:p>
          <w:p/>
        </w:tc>
      </w:tr>
      <w:tr>
        <w:trPr>
          <w:trHeight w:hRule="exact" w:val="245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15.12.2022 - 75 ПРОЦ</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35"/>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63"/>
        </w:trPr>
        <w:tc>
          <w:tcPr>
            <w:tcW w:w="15618" w:type="dxa"/>
            <w:gridSpan w:val="36"/>
            <w:tcBorders>
              <w:top w:val="single" w:sz="5" w:space="0" w:color="000000"/>
            </w:tcBorders>
          </w:tcPr>
          <w:p/>
        </w:tc>
      </w:tr>
      <w:tr>
        <w:trPr>
          <w:trHeight w:hRule="exact" w:val="1863"/>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390"/>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4.14</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2023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pPr>
          </w:p>
          <w:p/>
        </w:tc>
      </w:tr>
      <w:tr>
        <w:trPr>
          <w:trHeight w:hRule="exact" w:val="245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15.12.2023 - 75 ПРОЦ</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35"/>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77"/>
        </w:trPr>
        <w:tc>
          <w:tcPr>
            <w:tcW w:w="15618" w:type="dxa"/>
            <w:gridSpan w:val="36"/>
            <w:tcBorders>
              <w:top w:val="single" w:sz="5" w:space="0" w:color="000000"/>
            </w:tcBorders>
          </w:tcPr>
          <w:p/>
        </w:tc>
      </w:tr>
      <w:tr>
        <w:trPr>
          <w:trHeight w:hRule="exact" w:val="1863"/>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390"/>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4.15</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2024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pPr>
          </w:p>
          <w:p/>
        </w:tc>
      </w:tr>
      <w:tr>
        <w:trPr>
          <w:trHeight w:hRule="exact" w:val="245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restart"/>
            <w:tcMar>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15.12.2024 - 75 ПРОЦ</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36"/>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vMerge/>
            <w:vAlign w:val="center"/>
            <w:tcBorders>
              <w:left w:val="single" w:sz="5" w:space="0" w:color="000000"/>
              <w:bottom w:val="single" w:sz="5" w:space="0" w:color="000000"/>
              <w:right w:val="single" w:sz="5" w:space="0" w:color="000000"/>
            </w:tcBorders>
            <w:shd w:val="clear" w:color="auto" w:fill="auto"/>
          </w:tcP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390"/>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4.16</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2019 году обеспечено не менее 2 тысяч просмотров телевизионных и радиопрограмм, телевизионных документальных фильмов, Интернет-сайтов, направленных на пропаганду здорового образа жизни, физической культуры, спорта и здорового питания</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производства телевизионных и радиопрограмм, телевизионных документальных фильмов, направленных на пропаганду здорового образа жизни, физической культуры, спорта и здорового питания, создания в информационно-телекоммуникационной сети «Интернет» тематических Интернет-ресурсов.</w:t>
            </w:r>
          </w:p>
          <w:p/>
        </w:tc>
      </w:tr>
      <w:tr>
        <w:trPr>
          <w:trHeight w:hRule="exact" w:val="116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tcMar>
              <w:top w:w="72" w:type="dxa"/>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31.12.2019 - 2000 -</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175"/>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задачи, результата</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Характеристика результата</w:t>
            </w: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7021"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6305"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r>
      <w:tr>
        <w:trPr>
          <w:trHeight w:hRule="exact" w:val="1390"/>
        </w:trPr>
        <w:tc>
          <w:tcPr>
            <w:tcW w:w="716" w:type="dxa"/>
            <w:gridSpan w:val="2"/>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4.17</w:t>
            </w:r>
          </w:p>
        </w:tc>
        <w:tc>
          <w:tcPr>
            <w:tcW w:w="7021" w:type="dxa"/>
            <w:gridSpan w:val="14"/>
            <w:tcMar>
              <w:left w:w="72" w:type="dxa"/>
              <w:right w:w="72" w:type="dxa"/>
            </w:tcMar>
            <w:tcBorders>
              <w:top w:val="single" w:sz="5" w:space="0" w:color="000000"/>
              <w:left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2019 году тираж периодических печатных изданий, реализовавших проекты, направленные на пропаганду здорового образа жизни, физической культуры, спорта и здорового питания, составил не менее 10 тысяч экземпляров</w:t>
            </w:r>
          </w:p>
        </w:tc>
        <w:tc>
          <w:tcPr>
            <w:tcW w:w="1576" w:type="dxa"/>
            <w:gridSpan w:val="4"/>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6305" w:type="dxa"/>
            <w:gridSpan w:val="1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периодическим печатным изданиям на реализацию проектов, направленных на пропаганду здорового образа жизни, физической культуры, спорта и здорового питания.</w:t>
            </w:r>
          </w:p>
          <w:p/>
        </w:tc>
      </w:tr>
      <w:tr>
        <w:trPr>
          <w:trHeight w:hRule="exact" w:val="645"/>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7021" w:type="dxa"/>
            <w:gridSpan w:val="14"/>
            <w:tcMar>
              <w:top w:w="72" w:type="dxa"/>
              <w:left w:w="287" w:type="dxa"/>
              <w:right w:w="72" w:type="dxa"/>
            </w:tcMar>
            <w:vAlign w:val="center"/>
            <w:tcBorders>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 31.12.2019 - 10 ТЫС ЭКЗ</w:t>
            </w:r>
          </w:p>
        </w:tc>
        <w:tc>
          <w:tcPr>
            <w:tcW w:w="1576"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6305" w:type="dxa"/>
            <w:gridSpan w:val="1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5"/>
        </w:trPr>
        <w:tc>
          <w:tcPr>
            <w:tcW w:w="15618" w:type="dxa"/>
            <w:gridSpan w:val="36"/>
            <w:tcBorders>
              <w:top w:val="single" w:sz="5" w:space="0" w:color="000000"/>
            </w:tcBorders>
          </w:tcPr>
          <w:p/>
        </w:tc>
      </w:tr>
      <w:tr>
        <w:trPr>
          <w:trHeight w:hRule="exact" w:val="2551"/>
        </w:trPr>
        <w:tc>
          <w:tcPr>
            <w:tcW w:w="15618" w:type="dxa"/>
            <w:gridSpan w:val="36"/>
          </w:tcPr>
          <w:p/>
        </w:tc>
      </w:tr>
      <w:tr>
        <w:trPr>
          <w:trHeight w:hRule="exact" w:val="2550"/>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r>
      <w:tr>
        <w:trPr>
          <w:trHeight w:hRule="exact" w:val="430"/>
        </w:trPr>
        <w:tc>
          <w:tcPr>
            <w:tcW w:w="15618" w:type="dxa"/>
            <w:gridSpan w:val="36"/>
          </w:tcPr>
          <w:p/>
        </w:tc>
      </w:tr>
      <w:tr>
        <w:trPr>
          <w:trHeight w:hRule="exact" w:val="143"/>
        </w:trPr>
        <w:tc>
          <w:tcPr>
            <w:tcW w:w="860" w:type="dxa"/>
            <w:gridSpan w:val="3"/>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33"/>
            <w:vAlign w:val="center"/>
            <w:shd w:val="clear" w:color="auto" w:fill="auto"/>
          </w:tcPr>
          <w:p/>
        </w:tc>
      </w:tr>
      <w:tr>
        <w:trPr>
          <w:trHeight w:hRule="exact" w:val="430"/>
        </w:trPr>
        <w:tc>
          <w:tcPr>
            <w:tcW w:w="15618" w:type="dxa"/>
            <w:gridSpan w:val="36"/>
            <w:vAlign w:val="center"/>
            <w:tcBorders>
              <w:bottom w:val="single" w:sz="5" w:space="0" w:color="000000"/>
            </w:tcBorders>
            <w:shd w:val="clear" w:color="auto" w:fill="auto"/>
          </w:tcPr>
          <w:p>
            <w:pPr>
              <w:rPr>
                <w:rFonts w:ascii="Times New Roman" w:hAnsi="Times New Roman" w:eastAsia="Times New Roman" w:cs="Times New Roman"/>
                <w:color w:val="000000"/>
                <w:sz w:val="28"/>
                <w:spacing w:val="-2"/>
              </w:rPr>
              <w:spacing w:line="230"/>
              <w:jc w:val="center"/>
            </w:pPr>
            <w:r>
              <w:rPr>
                <w:sz w:val="28"/>
                <w:szCs w:val="28"/>
                <w:rFonts w:ascii="Times New Roman" w:hAnsi="Times New Roman" w:eastAsia="Times New Roman" w:cs="Times New Roman"/>
                <w:spacing w:val="-2"/>
              </w:rPr>
              <w:t xml:space="preserve">4. Финансовое обеспечение реализации регионального проекта</w:t>
            </w:r>
          </w:p>
          <w:p/>
        </w:tc>
      </w:tr>
      <w:tr>
        <w:trPr>
          <w:trHeight w:hRule="exact" w:val="430"/>
        </w:trPr>
        <w:tc>
          <w:tcPr>
            <w:tcW w:w="100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442"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и источники финансирования</w:t>
            </w:r>
          </w:p>
        </w:tc>
        <w:tc>
          <w:tcPr>
            <w:tcW w:w="8596" w:type="dxa"/>
            <w:gridSpan w:val="2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финансового обеспечения по годам реализации (млн. рублей)</w:t>
            </w:r>
          </w:p>
        </w:tc>
        <w:tc>
          <w:tcPr>
            <w:tcW w:w="1577"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(млн. рублей)</w:t>
            </w:r>
          </w:p>
        </w:tc>
      </w:tr>
      <w:tr>
        <w:trPr>
          <w:trHeight w:hRule="exact" w:val="286"/>
        </w:trPr>
        <w:tc>
          <w:tcPr>
            <w:tcW w:w="100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44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1577"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100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44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157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1</w:t>
            </w:r>
          </w:p>
          <w:p/>
        </w:tc>
        <w:tc>
          <w:tcPr>
            <w:tcW w:w="14615" w:type="dxa"/>
            <w:gridSpan w:val="3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Результат федерального проекта (справочно из паспорта федерального проекта): Субъекты Российской Федерации обеспечили внедрение модели организации и функционирования центров общественного здоровья.</w:t>
            </w:r>
            <w:r>
              <w:rPr>
                <w:color w:val="FFFFFF"/>
                <w:sz w:val="24"/>
                <w:szCs w:val="24"/>
                <w:rFonts w:ascii="Times New Roman" w:hAnsi="Times New Roman" w:eastAsia="Times New Roman" w:cs="Times New Roman"/>
                <w:spacing w:val="-2"/>
              </w:rPr>
              <w:t xml:space="preserve">0</w:t>
            </w:r>
          </w:p>
          <w:p/>
        </w:tc>
      </w:tr>
      <w:tr>
        <w:trPr>
          <w:trHeight w:hRule="exact" w:val="1763"/>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2019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Федеральный бюджет (в т.ч. межбюджетные трансферы бюджету)</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247"/>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государственных внебюджетных фондов Российской Федерации и их территориальных фондов</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 т.ч.</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 субъекта Российской Федерации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97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межбюджетные трансферты бюджета субъекта Российской Федерации бюджетам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5"/>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1.1.3.3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1.1.4</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676"/>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22</w:t>
            </w:r>
          </w:p>
        </w:tc>
      </w:tr>
      <w:tr>
        <w:trPr>
          <w:trHeight w:hRule="exact" w:val="430"/>
        </w:trPr>
        <w:tc>
          <w:tcPr>
            <w:tcW w:w="15618" w:type="dxa"/>
            <w:gridSpan w:val="36"/>
            <w:tcBorders>
              <w:bottom w:val="single" w:sz="5" w:space="0" w:color="000000"/>
            </w:tcBorders>
          </w:tcPr>
          <w:p/>
        </w:tc>
      </w:tr>
      <w:tr>
        <w:trPr>
          <w:trHeight w:hRule="exact" w:val="430"/>
        </w:trPr>
        <w:tc>
          <w:tcPr>
            <w:tcW w:w="100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442"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и источники финансирования</w:t>
            </w:r>
          </w:p>
        </w:tc>
        <w:tc>
          <w:tcPr>
            <w:tcW w:w="8596" w:type="dxa"/>
            <w:gridSpan w:val="2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финансового обеспечения по годам реализации (млн. рублей)</w:t>
            </w:r>
          </w:p>
        </w:tc>
        <w:tc>
          <w:tcPr>
            <w:tcW w:w="1577"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(млн. рублей)</w:t>
            </w:r>
          </w:p>
        </w:tc>
      </w:tr>
      <w:tr>
        <w:trPr>
          <w:trHeight w:hRule="exact" w:val="286"/>
        </w:trPr>
        <w:tc>
          <w:tcPr>
            <w:tcW w:w="100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44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1577"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100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44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157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1762"/>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2020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717"/>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Федеральный бюджет (в т.ч. межбюджетные трансферы бюджету)</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24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государственных внебюджетных фондов Российской Федерации и их территориальных фондов</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 т.ч.</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445"/>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1.2.3.1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 субъекта Российской Федерации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97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1.2.3.2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межбюджетные трансферты бюджета субъекта Российской Федерации бюджетам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1.2.3.3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1.2.4</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763"/>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2021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Федеральный бюджет (в т.ч. межбюджетные трансферы бюджету)</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57"/>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444"/>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23</w:t>
            </w:r>
          </w:p>
        </w:tc>
      </w:tr>
      <w:tr>
        <w:trPr>
          <w:trHeight w:hRule="exact" w:val="430"/>
        </w:trPr>
        <w:tc>
          <w:tcPr>
            <w:tcW w:w="15618" w:type="dxa"/>
            <w:gridSpan w:val="36"/>
            <w:tcBorders>
              <w:bottom w:val="single" w:sz="5" w:space="0" w:color="000000"/>
            </w:tcBorders>
          </w:tcPr>
          <w:p/>
        </w:tc>
      </w:tr>
      <w:tr>
        <w:trPr>
          <w:trHeight w:hRule="exact" w:val="430"/>
        </w:trPr>
        <w:tc>
          <w:tcPr>
            <w:tcW w:w="100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442"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и источники финансирования</w:t>
            </w:r>
          </w:p>
        </w:tc>
        <w:tc>
          <w:tcPr>
            <w:tcW w:w="8596" w:type="dxa"/>
            <w:gridSpan w:val="2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финансового обеспечения по годам реализации (млн. рублей)</w:t>
            </w:r>
          </w:p>
        </w:tc>
        <w:tc>
          <w:tcPr>
            <w:tcW w:w="1577"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(млн. рублей)</w:t>
            </w:r>
          </w:p>
        </w:tc>
      </w:tr>
      <w:tr>
        <w:trPr>
          <w:trHeight w:hRule="exact" w:val="287"/>
        </w:trPr>
        <w:tc>
          <w:tcPr>
            <w:tcW w:w="100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44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1577"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100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44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157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1189"/>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государственных внебюджетных фондов Российской Федерации и их территориальных фондов</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717"/>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 т.ч.</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1.3.3.1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 субъекта Российской Федерации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97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1.3.3.2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межбюджетные трансферты бюджета субъекта Российской Федерации бюджетам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1.3.3.3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5"/>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1.3.4</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762"/>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2022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Федеральный бюджет (в т.ч. межбюджетные трансферы бюджету)</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247"/>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государственных внебюджетных фондов Российской Федерации и их территориальных фондов</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 т.ч.</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1.4.3.1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 субъекта Российской Федерации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187"/>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430"/>
        </w:trPr>
        <w:tc>
          <w:tcPr>
            <w:tcW w:w="15618" w:type="dxa"/>
            <w:gridSpan w:val="36"/>
            <w:tcBorders>
              <w:top w:val="single" w:sz="5" w:space="0" w:color="000000"/>
            </w:tcBorders>
          </w:tcPr>
          <w:p/>
        </w:tc>
      </w:tr>
      <w:tr>
        <w:trPr>
          <w:trHeight w:hRule="exact" w:val="429"/>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w:t>
            </w:r>
          </w:p>
        </w:tc>
      </w:tr>
      <w:tr>
        <w:trPr>
          <w:trHeight w:hRule="exact" w:val="430"/>
        </w:trPr>
        <w:tc>
          <w:tcPr>
            <w:tcW w:w="15618" w:type="dxa"/>
            <w:gridSpan w:val="36"/>
            <w:tcBorders>
              <w:bottom w:val="single" w:sz="5" w:space="0" w:color="000000"/>
            </w:tcBorders>
          </w:tcPr>
          <w:p/>
        </w:tc>
      </w:tr>
      <w:tr>
        <w:trPr>
          <w:trHeight w:hRule="exact" w:val="430"/>
        </w:trPr>
        <w:tc>
          <w:tcPr>
            <w:tcW w:w="100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442"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и источники финансирования</w:t>
            </w:r>
          </w:p>
        </w:tc>
        <w:tc>
          <w:tcPr>
            <w:tcW w:w="8596" w:type="dxa"/>
            <w:gridSpan w:val="2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финансового обеспечения по годам реализации (млн. рублей)</w:t>
            </w:r>
          </w:p>
        </w:tc>
        <w:tc>
          <w:tcPr>
            <w:tcW w:w="1577"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(млн. рублей)</w:t>
            </w:r>
          </w:p>
        </w:tc>
      </w:tr>
      <w:tr>
        <w:trPr>
          <w:trHeight w:hRule="exact" w:val="287"/>
        </w:trPr>
        <w:tc>
          <w:tcPr>
            <w:tcW w:w="100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44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1577"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100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44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157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788"/>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1.4.3.2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межбюджетные трансферты бюджета субъекта Российской Федерации бюджетам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1.4.3.3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5"/>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1.4.4</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762"/>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2023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Федеральный бюджет (в т.ч. межбюджетные трансферы бюджету)</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247"/>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государственных внебюджетных фондов Российской Федерации и их территориальных фондов</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 т.ч.</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1.5.3.1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 субъекта Российской Федерации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975"/>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1.5.3.2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межбюджетные трансферты бюджета субъекта Российской Федерации бюджетам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1.5.3.3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1.5.4</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860"/>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2024 год коммуникационной кампанией охвачено не менее 75% </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430"/>
        </w:trPr>
        <w:tc>
          <w:tcPr>
            <w:tcW w:w="15618" w:type="dxa"/>
            <w:gridSpan w:val="36"/>
            <w:tcBorders>
              <w:top w:val="single" w:sz="5" w:space="0" w:color="000000"/>
            </w:tcBorders>
          </w:tcPr>
          <w:p/>
        </w:tc>
      </w:tr>
      <w:tr>
        <w:trPr>
          <w:trHeight w:hRule="exact" w:val="429"/>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25</w:t>
            </w:r>
          </w:p>
        </w:tc>
      </w:tr>
      <w:tr>
        <w:trPr>
          <w:trHeight w:hRule="exact" w:val="430"/>
        </w:trPr>
        <w:tc>
          <w:tcPr>
            <w:tcW w:w="15618" w:type="dxa"/>
            <w:gridSpan w:val="36"/>
            <w:tcBorders>
              <w:bottom w:val="single" w:sz="5" w:space="0" w:color="000000"/>
            </w:tcBorders>
          </w:tcPr>
          <w:p/>
        </w:tc>
      </w:tr>
      <w:tr>
        <w:trPr>
          <w:trHeight w:hRule="exact" w:val="430"/>
        </w:trPr>
        <w:tc>
          <w:tcPr>
            <w:tcW w:w="100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442"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и источники финансирования</w:t>
            </w:r>
          </w:p>
        </w:tc>
        <w:tc>
          <w:tcPr>
            <w:tcW w:w="8596" w:type="dxa"/>
            <w:gridSpan w:val="2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финансового обеспечения по годам реализации (млн. рублей)</w:t>
            </w:r>
          </w:p>
        </w:tc>
        <w:tc>
          <w:tcPr>
            <w:tcW w:w="1577"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(млн. рублей)</w:t>
            </w:r>
          </w:p>
        </w:tc>
      </w:tr>
      <w:tr>
        <w:trPr>
          <w:trHeight w:hRule="exact" w:val="287"/>
        </w:trPr>
        <w:tc>
          <w:tcPr>
            <w:tcW w:w="100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44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1577"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100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44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157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1247"/>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аудитории граждан старше 12 лет по основным каналам: телевидение, радио и в информационно-телекоммуникационной сети «Интернет»</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Федеральный бюджет (в т.ч. межбюджетные трансферы бюджету)</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247"/>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государственных внебюджетных фондов Российской Федерации и их территориальных фондов</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716"/>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 Российской Федерации, в т.ч.</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1.6.3.1</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 субъекта Российской Федерации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r>
      <w:tr>
        <w:trPr>
          <w:trHeight w:hRule="exact" w:val="975"/>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1.6.3.2</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межбюджетные трансферты бюджета субъекта Российской Федерации бюджетам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1.6.3.3</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444"/>
        </w:trPr>
        <w:tc>
          <w:tcPr>
            <w:tcW w:w="100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1.6.4</w:t>
            </w:r>
          </w:p>
        </w:tc>
        <w:tc>
          <w:tcPr>
            <w:tcW w:w="444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748"/>
        </w:trPr>
        <w:tc>
          <w:tcPr>
            <w:tcW w:w="15618" w:type="dxa"/>
            <w:gridSpan w:val="36"/>
            <w:tcBorders>
              <w:top w:val="single" w:sz="5" w:space="0" w:color="000000"/>
            </w:tcBorders>
          </w:tcPr>
          <w:p/>
        </w:tc>
      </w:tr>
      <w:tr>
        <w:trPr>
          <w:trHeight w:hRule="exact" w:val="1734"/>
        </w:trPr>
        <w:tc>
          <w:tcPr>
            <w:tcW w:w="15618" w:type="dxa"/>
            <w:gridSpan w:val="36"/>
          </w:tcPr>
          <w:p/>
        </w:tc>
      </w:tr>
      <w:tr>
        <w:trPr>
          <w:trHeight w:hRule="exact" w:val="429"/>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26</w:t>
            </w:r>
          </w:p>
        </w:tc>
      </w:tr>
      <w:tr>
        <w:trPr>
          <w:trHeight w:hRule="exact" w:val="430"/>
        </w:trPr>
        <w:tc>
          <w:tcPr>
            <w:tcW w:w="15618" w:type="dxa"/>
            <w:gridSpan w:val="36"/>
            <w:tcBorders>
              <w:bottom w:val="single" w:sz="5" w:space="0" w:color="000000"/>
            </w:tcBorders>
          </w:tcPr>
          <w:p/>
        </w:tc>
      </w:tr>
      <w:tr>
        <w:trPr>
          <w:trHeight w:hRule="exact" w:val="430"/>
        </w:trPr>
        <w:tc>
          <w:tcPr>
            <w:tcW w:w="100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4442"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и источники финансирования</w:t>
            </w:r>
          </w:p>
        </w:tc>
        <w:tc>
          <w:tcPr>
            <w:tcW w:w="8596" w:type="dxa"/>
            <w:gridSpan w:val="2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Объем финансового обеспечения по годам реализации (млн. рублей)</w:t>
            </w:r>
          </w:p>
        </w:tc>
        <w:tc>
          <w:tcPr>
            <w:tcW w:w="1577"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(млн. рублей)</w:t>
            </w:r>
          </w:p>
        </w:tc>
      </w:tr>
      <w:tr>
        <w:trPr>
          <w:trHeight w:hRule="exact" w:val="287"/>
        </w:trPr>
        <w:tc>
          <w:tcPr>
            <w:tcW w:w="100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44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2019</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2020</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2021</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2022</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2023</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2024</w:t>
            </w:r>
          </w:p>
        </w:tc>
        <w:tc>
          <w:tcPr>
            <w:tcW w:w="1577"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100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444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43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43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43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143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157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r>
      <w:tr>
        <w:trPr>
          <w:trHeight w:hRule="exact" w:val="717"/>
        </w:trPr>
        <w:tc>
          <w:tcPr>
            <w:tcW w:w="544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Всего по региональному проекту, в том числе:</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14,40</w:t>
            </w:r>
          </w:p>
        </w:tc>
      </w:tr>
      <w:tr>
        <w:trPr>
          <w:trHeight w:hRule="exact" w:val="1146"/>
        </w:trPr>
        <w:tc>
          <w:tcPr>
            <w:tcW w:w="544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федеральный бюджет (в т.ч. межбюджетные трансферты бюджету) (Республика Коми)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003"/>
        </w:trPr>
        <w:tc>
          <w:tcPr>
            <w:tcW w:w="544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государственных внебюджетных </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фондов Российской Федерации и их</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территориальных фондов</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716"/>
        </w:trPr>
        <w:tc>
          <w:tcPr>
            <w:tcW w:w="544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консолидированный бюджет субъекта</w:t>
            </w:r>
          </w:p>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Российской Федерации, в т.ч.:</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14,40</w:t>
            </w:r>
          </w:p>
        </w:tc>
      </w:tr>
      <w:tr>
        <w:trPr>
          <w:trHeight w:hRule="exact" w:val="573"/>
        </w:trPr>
        <w:tc>
          <w:tcPr>
            <w:tcW w:w="544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 субъекта Российской Федерации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2,40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14,40</w:t>
            </w:r>
          </w:p>
        </w:tc>
      </w:tr>
      <w:tr>
        <w:trPr>
          <w:trHeight w:hRule="exact" w:val="1003"/>
        </w:trPr>
        <w:tc>
          <w:tcPr>
            <w:tcW w:w="544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межбюджетные трансферты бюджета субъекта Российской Федерации бюджетам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717"/>
        </w:trPr>
        <w:tc>
          <w:tcPr>
            <w:tcW w:w="544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бюджеты муниципальных образований</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573"/>
        </w:trPr>
        <w:tc>
          <w:tcPr>
            <w:tcW w:w="5445"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внебюджетные источники</w:t>
            </w:r>
          </w:p>
        </w:tc>
        <w:tc>
          <w:tcPr>
            <w:tcW w:w="1432"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432"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c>
          <w:tcPr>
            <w:tcW w:w="1577" w:type="dxa"/>
            <w:gridSpan w:val="3"/>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0,00</w:t>
            </w:r>
          </w:p>
        </w:tc>
      </w:tr>
      <w:tr>
        <w:trPr>
          <w:trHeight w:hRule="exact" w:val="1648"/>
        </w:trPr>
        <w:tc>
          <w:tcPr>
            <w:tcW w:w="15618" w:type="dxa"/>
            <w:gridSpan w:val="36"/>
            <w:tcBorders>
              <w:top w:val="single" w:sz="5" w:space="0" w:color="000000"/>
            </w:tcBorders>
          </w:tcPr>
          <w:p/>
        </w:tc>
      </w:tr>
      <w:tr>
        <w:trPr>
          <w:trHeight w:hRule="exact" w:val="1633"/>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27</w:t>
            </w:r>
          </w:p>
        </w:tc>
      </w:tr>
      <w:tr>
        <w:trPr>
          <w:trHeight w:hRule="exact" w:val="430"/>
        </w:trPr>
        <w:tc>
          <w:tcPr>
            <w:tcW w:w="15618" w:type="dxa"/>
            <w:gridSpan w:val="36"/>
          </w:tcPr>
          <w:p/>
        </w:tc>
      </w:tr>
      <w:tr>
        <w:trPr>
          <w:trHeight w:hRule="exact" w:val="143"/>
        </w:trPr>
        <w:tc>
          <w:tcPr>
            <w:tcW w:w="860" w:type="dxa"/>
            <w:gridSpan w:val="3"/>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33"/>
            <w:vAlign w:val="center"/>
            <w:shd w:val="clear" w:color="auto" w:fill="auto"/>
          </w:tcPr>
          <w:p/>
        </w:tc>
      </w:tr>
      <w:tr>
        <w:trPr>
          <w:trHeight w:hRule="exact" w:val="430"/>
        </w:trPr>
        <w:tc>
          <w:tcPr>
            <w:tcW w:w="15618" w:type="dxa"/>
            <w:gridSpan w:val="36"/>
            <w:vAlign w:val="center"/>
            <w:tcBorders>
              <w:bottom w:val="single" w:sz="5" w:space="0" w:color="000000"/>
            </w:tcBorders>
            <w:shd w:val="clear" w:color="auto" w:fill="auto"/>
          </w:tcPr>
          <w:p>
            <w:pPr>
              <w:rPr>
                <w:rFonts w:ascii="Times New Roman" w:hAnsi="Times New Roman" w:eastAsia="Times New Roman" w:cs="Times New Roman"/>
                <w:color w:val="000000"/>
                <w:sz w:val="28"/>
                <w:spacing w:val="-2"/>
              </w:rPr>
              <w:spacing w:line="230"/>
              <w:jc w:val="center"/>
            </w:pPr>
            <w:r>
              <w:rPr>
                <w:sz w:val="28"/>
                <w:szCs w:val="28"/>
                <w:rFonts w:ascii="Times New Roman" w:hAnsi="Times New Roman" w:eastAsia="Times New Roman" w:cs="Times New Roman"/>
                <w:spacing w:val="-2"/>
              </w:rPr>
              <w:t xml:space="preserve">5. Участники регионального проекта</w:t>
            </w:r>
          </w:p>
          <w:p/>
        </w:tc>
      </w:tr>
      <w:tr>
        <w:trPr>
          <w:trHeight w:hRule="exact" w:val="573"/>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439"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Роль в региональном проекте</w:t>
            </w:r>
          </w:p>
        </w:tc>
        <w:tc>
          <w:tcPr>
            <w:tcW w:w="3009"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Фамилия, инициалы</w:t>
            </w:r>
          </w:p>
        </w:tc>
        <w:tc>
          <w:tcPr>
            <w:tcW w:w="3295"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Должность</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Непосредственный руководитель</w:t>
            </w:r>
          </w:p>
        </w:tc>
        <w:tc>
          <w:tcPr>
            <w:tcW w:w="229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Занятость в проекте</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(процентов)</w:t>
            </w: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439"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009"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295"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29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r>
      <w:tr>
        <w:trPr>
          <w:trHeight w:hRule="exact" w:val="860"/>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Руководитель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здравоохранения Республики Коми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r>
      <w:tr>
        <w:trPr>
          <w:trHeight w:hRule="exact" w:val="860"/>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Администратор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здравоохранения Республики Коми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r>
      <w:tr>
        <w:trPr>
          <w:trHeight w:hRule="exact" w:val="430"/>
        </w:trPr>
        <w:tc>
          <w:tcPr>
            <w:tcW w:w="15618" w:type="dxa"/>
            <w:gridSpan w:val="36"/>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Субъекты Российской Федерации обеспечили внедрение модели организации и функционирования центров общественного здоровья.</w:t>
            </w:r>
          </w:p>
          <w:p/>
        </w:tc>
      </w:tr>
      <w:tr>
        <w:trPr>
          <w:trHeight w:hRule="exact" w:val="974"/>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здравоохранения Республики Коми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r>
      <w:tr>
        <w:trPr>
          <w:trHeight w:hRule="exact" w:val="974"/>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71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Главный врач</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w:t>
            </w: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r>
      <w:tr>
        <w:trPr>
          <w:trHeight w:hRule="exact" w:val="1504"/>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Сидоров М. В.</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внештатный специалист уролог Министерства здравоохранения Республики Коми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Лыюрова Т. М.</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Центром медицинской профилактики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1505"/>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Голикова Е. Н.</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внештатный специалист эндокринолог Министерства здравоохранения Республики Коми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745"/>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28</w:t>
            </w:r>
          </w:p>
        </w:tc>
      </w:tr>
      <w:tr>
        <w:trPr>
          <w:trHeight w:hRule="exact" w:val="430"/>
        </w:trPr>
        <w:tc>
          <w:tcPr>
            <w:tcW w:w="15618" w:type="dxa"/>
            <w:gridSpan w:val="36"/>
            <w:tcBorders>
              <w:bottom w:val="single" w:sz="5" w:space="0" w:color="000000"/>
            </w:tcBorders>
          </w:tcPr>
          <w:p/>
        </w:tc>
      </w:tr>
      <w:tr>
        <w:trPr>
          <w:trHeight w:hRule="exact" w:val="1504"/>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Ткаченко Е. В.</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Главный внештатный специалист стоматолог Министерства здравоохранения Республики Коми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министр здравоохранения Республики Коми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r>
      <w:tr>
        <w:trPr>
          <w:trHeight w:hRule="exact" w:val="430"/>
        </w:trPr>
        <w:tc>
          <w:tcPr>
            <w:tcW w:w="15618" w:type="dxa"/>
            <w:gridSpan w:val="36"/>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Муниципальные образования внедрили муниципальные программы общественного здоровья</w:t>
            </w:r>
          </w:p>
          <w:p/>
        </w:tc>
      </w:tr>
      <w:tr>
        <w:trPr>
          <w:trHeight w:hRule="exact" w:val="975"/>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Совершаева М. А.</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Заместитель министра здравоохранения Республики Коми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Главный врач</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w:t>
            </w: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Лыюрова Т. М.</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Заведующий Центром медицинской профилактики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124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Босенко М.</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Региональный координатор Всероссийского общественного движения «Волонтеры-медики»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r>
      <w:tr>
        <w:trPr>
          <w:trHeight w:hRule="exact" w:val="430"/>
        </w:trPr>
        <w:tc>
          <w:tcPr>
            <w:tcW w:w="15618" w:type="dxa"/>
            <w:gridSpan w:val="36"/>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Внедрены корпоративные программы, содержащие наилучшие практики по укреплению здоровья работников</w:t>
            </w:r>
          </w:p>
          <w:p/>
        </w:tc>
      </w:tr>
      <w:tr>
        <w:trPr>
          <w:trHeight w:hRule="exact" w:val="974"/>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достижение результата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Начальник Управления организации медицинской помощи</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20</w:t>
            </w: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c>
          <w:tcPr>
            <w:tcW w:w="3439"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Участник регионального проекта</w:t>
            </w:r>
          </w:p>
        </w:tc>
        <w:tc>
          <w:tcPr>
            <w:tcW w:w="3009"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Ломов В. Е.</w:t>
            </w:r>
          </w:p>
        </w:tc>
        <w:tc>
          <w:tcPr>
            <w:tcW w:w="3295" w:type="dxa"/>
            <w:gridSpan w:val="10"/>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Главный врач</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Березин Д. Б.</w:t>
            </w:r>
          </w:p>
        </w:tc>
        <w:tc>
          <w:tcPr>
            <w:tcW w:w="2293"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100</w:t>
            </w:r>
          </w:p>
        </w:tc>
      </w:tr>
      <w:tr>
        <w:trPr>
          <w:trHeight w:hRule="exact" w:val="2293"/>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29</w:t>
            </w:r>
          </w:p>
        </w:tc>
      </w:tr>
      <w:tr>
        <w:trPr>
          <w:trHeight w:hRule="exact" w:val="430"/>
        </w:trPr>
        <w:tc>
          <w:tcPr>
            <w:tcW w:w="15618" w:type="dxa"/>
            <w:gridSpan w:val="36"/>
          </w:tcPr>
          <w:p/>
        </w:tc>
      </w:tr>
      <w:tr>
        <w:trPr>
          <w:trHeight w:hRule="exact" w:val="558"/>
        </w:trPr>
        <w:tc>
          <w:tcPr>
            <w:tcW w:w="15618" w:type="dxa"/>
            <w:gridSpan w:val="36"/>
            <w:vAlign w:val="center"/>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6. Дополнительная информация</w:t>
            </w:r>
          </w:p>
        </w:tc>
      </w:tr>
      <w:tr>
        <w:trPr>
          <w:trHeight w:hRule="exact" w:val="15"/>
        </w:trPr>
        <w:tc>
          <w:tcPr>
            <w:tcW w:w="15603" w:type="dxa"/>
            <w:gridSpan w:val="35"/>
            <w:tcBorders>
              <w:bottom w:val="single" w:sz="5" w:space="0" w:color="000000"/>
            </w:tcBorders>
          </w:tcPr>
          <w:p/>
        </w:tc>
        <w:tc>
          <w:tcPr>
            <w:tcW w:w="15" w:type="dxa"/>
          </w:tcPr>
          <w:p/>
        </w:tc>
      </w:tr>
      <w:tr>
        <w:trPr>
          <w:trHeight w:hRule="exact" w:val="2865"/>
        </w:trPr>
        <w:tc>
          <w:tcPr>
            <w:tcW w:w="15603" w:type="dxa"/>
            <w:gridSpan w:val="35"/>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r>
              <w:rPr>
                <w:b/>
                <w:sz w:val="24"/>
                <w:szCs w:val="24"/>
                <w:rFonts w:ascii="Times New Roman" w:hAnsi="Times New Roman" w:eastAsia="Times New Roman" w:cs="Times New Roman"/>
                <w:spacing w:val="-2"/>
              </w:rPr>
              <w:t xml:space="preserve">1. Выделение наиболее значимых и заметных для общества укрупненных целей и задач, предусмотрев их приоритетное финансирование и концентрацию иных ресурсов для их достижения</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Наиболее значимыми задачами проекта, по которым определено приоритетное финансирование и концентрация других ресурсов, следует считать мероприятия:</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разработке и принятию нормативных правовых актов и методических документов по вопросам ведения гражданами здорового образа жизни, основанные на рекомендациях Всемирной организации здравоохранения, включая создание на базе центров здоровья и центров медицинской профилактики центров общественного здоровья;</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по внедрению в 100% муниципальных образований модельных муниципальных программ по укреплению общественного здоровья;</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по внедрению модели организации и функционирования центров общественного здоровья;</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по внедрению корпоративных программ, содержащих наилучшие практики по укреплению здоровья работников;</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по проведению ежегодной коммуникационной кампании, пропагандируешь здоровый образ жизни и бережное отношение к здоровью с охватом не менее 75% аудитории старше 12 лет по основным каналам: телевидение, радио и в информационно-телекоммуникационной сети «Интернет»;</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b/>
                <w:sz w:val="24"/>
                <w:szCs w:val="24"/>
                <w:rFonts w:ascii="Times New Roman" w:hAnsi="Times New Roman" w:eastAsia="Times New Roman" w:cs="Times New Roman"/>
                <w:spacing w:val="-2"/>
              </w:rPr>
              <w:t xml:space="preserve">2. Обоснование эффективности, достаточности и необходимости предлагаемых мероприятий</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Широкомасштабная информационно-коммуникационная кампания по вопросам здорового питания, направленная на преодоление избыточного потребления сахара, соли и жира будет проведена в целях формирования приверженности граждан принципам здорового питания. Предполагается, что кампанией будет охвачено почти все население России за 2021-2024 годы. При этом кампании также будут адресными: с выбором наилучших каналов доведения информации до различных возрастных и социальных групп и соответствующей адаптированной подачей информации.</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b/>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b/>
                <w:sz w:val="24"/>
                <w:szCs w:val="24"/>
                <w:rFonts w:ascii="Times New Roman" w:hAnsi="Times New Roman" w:eastAsia="Times New Roman" w:cs="Times New Roman"/>
                <w:spacing w:val="-2"/>
              </w:rPr>
              <w:t xml:space="preserve">3. Первоочередная реализация в проекте мероприятий, позволяющих оптимизировать или минимизировать стоимость последующих мероприятий</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Привлечение НКО и волонтерских организаций к внедрению модельных программ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 увеличить охват целевой аудитории без дополнительного финансирования и обеспечить вовлечение самых широких групп.</w:t>
            </w:r>
          </w:p>
          <w:p>
            <w:pPr>
              <w:rPr>
                <w:rFonts w:ascii="Times New Roman" w:hAnsi="Times New Roman" w:eastAsia="Times New Roman" w:cs="Times New Roman"/>
                <w:color w:val="000000"/>
                <w:sz w:val="24"/>
                <w:spacing w:val="-2"/>
              </w:rPr>
              <w:spacing w:line="230"/>
            </w:pP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pPr>
          </w:p>
          <w:p/>
        </w:tc>
        <w:tc>
          <w:tcPr>
            <w:tcW w:w="15" w:type="dxa"/>
            <w:tcBorders>
              <w:left w:val="single" w:sz="5" w:space="0" w:color="000000"/>
            </w:tcBorders>
          </w:tcPr>
          <w:p/>
        </w:tc>
      </w:tr>
      <w:tr>
        <w:trPr>
          <w:trHeight w:hRule="exact" w:val="2866"/>
        </w:trPr>
        <w:tc>
          <w:tcPr>
            <w:tcW w:w="15603" w:type="dxa"/>
            <w:gridSpan w:val="3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5" w:type="dxa"/>
            <w:tcBorders>
              <w:left w:val="single" w:sz="5" w:space="0" w:color="000000"/>
            </w:tcBorders>
          </w:tcPr>
          <w:p/>
        </w:tc>
      </w:tr>
      <w:tr>
        <w:trPr>
          <w:trHeight w:hRule="exact" w:val="1992"/>
        </w:trPr>
        <w:tc>
          <w:tcPr>
            <w:tcW w:w="15603" w:type="dxa"/>
            <w:gridSpan w:val="3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5" w:type="dxa"/>
            <w:tcBorders>
              <w:left w:val="single" w:sz="5" w:space="0" w:color="000000"/>
            </w:tcBorders>
          </w:tcPr>
          <w:p/>
        </w:tc>
      </w:tr>
      <w:tr>
        <w:trPr>
          <w:trHeight w:hRule="exact" w:val="1991"/>
        </w:trPr>
        <w:tc>
          <w:tcPr>
            <w:tcW w:w="15603" w:type="dxa"/>
            <w:gridSpan w:val="3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5" w:type="dxa"/>
            <w:tcBorders>
              <w:left w:val="single" w:sz="5" w:space="0" w:color="000000"/>
            </w:tcBorders>
          </w:tcPr>
          <w:p/>
        </w:tc>
      </w:tr>
      <w:tr>
        <w:trPr>
          <w:trHeight w:hRule="exact" w:val="444"/>
        </w:trPr>
        <w:tc>
          <w:tcPr>
            <w:tcW w:w="15603" w:type="dxa"/>
            <w:gridSpan w:val="35"/>
            <w:tcBorders>
              <w:top w:val="single" w:sz="5" w:space="0" w:color="000000"/>
            </w:tcBorders>
          </w:tcPr>
          <w:p/>
        </w:tc>
        <w:tc>
          <w:tcPr>
            <w:tcW w:w="15" w:type="dxa"/>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w:t>
            </w:r>
          </w:p>
        </w:tc>
      </w:tr>
      <w:tr>
        <w:trPr>
          <w:trHeight w:hRule="exact" w:val="430"/>
        </w:trPr>
        <w:tc>
          <w:tcPr>
            <w:tcW w:w="15603" w:type="dxa"/>
            <w:gridSpan w:val="35"/>
            <w:tcBorders>
              <w:bottom w:val="single" w:sz="5" w:space="0" w:color="000000"/>
            </w:tcBorders>
          </w:tcPr>
          <w:p/>
        </w:tc>
        <w:tc>
          <w:tcPr>
            <w:tcW w:w="15" w:type="dxa"/>
          </w:tcPr>
          <w:p/>
        </w:tc>
      </w:tr>
      <w:tr>
        <w:trPr>
          <w:trHeight w:hRule="exact" w:val="1648"/>
        </w:trPr>
        <w:tc>
          <w:tcPr>
            <w:tcW w:w="15603" w:type="dxa"/>
            <w:gridSpan w:val="35"/>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184"/>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184"/>
            </w:pPr>
            <w:r>
              <w:rPr>
                <w:b/>
                <w:sz w:val="24"/>
                <w:szCs w:val="24"/>
                <w:rFonts w:ascii="Times New Roman" w:hAnsi="Times New Roman" w:eastAsia="Times New Roman" w:cs="Times New Roman"/>
                <w:spacing w:val="-2"/>
              </w:rPr>
              <w:t xml:space="preserve">4. Сдерживающие факторы при реализации регнионального проекта.</w:t>
            </w: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184"/>
            </w:pPr>
            <w:r>
              <w:rPr>
                <w:sz w:val="24"/>
                <w:szCs w:val="24"/>
                <w:rFonts w:ascii="Times New Roman" w:hAnsi="Times New Roman" w:eastAsia="Times New Roman" w:cs="Times New Roman"/>
                <w:spacing w:val="-2"/>
              </w:rPr>
              <w:t xml:space="preserve">Недостаточная штатная численность медицинских работников, участвующих в реализации федерального проекта, а также отсутствие в штате структур медицинской профилактики специалистов по коммуникационным проектам, PR, рекламе, таргетированным механизмам размещения в сети «Интеренет», проектных менеджеров, специалистов по корпоративной среде, специалистов по работе с НКО. Также необходимо отметить высокую стоимость размещения роликов в сети интернет, трансляцию передач на теле-радио - каналах. Выделение средств в рамках предусмотренного бюджета на привлечение указанных специалистов и проведение информационно-коммуникационной кампании необходимо для реализации запланированных в региональном проекте мероприятий в полном объеме.</w:t>
            </w: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184"/>
            </w:pPr>
            <w:r>
              <w:rPr>
                <w:sz w:val="24"/>
                <w:szCs w:val="24"/>
                <w:rFonts w:ascii="Times New Roman" w:hAnsi="Times New Roman" w:eastAsia="Times New Roman" w:cs="Times New Roman"/>
                <w:spacing w:val="-2"/>
              </w:rPr>
              <w:t xml:space="preserve">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финансирования на создание центров общественного здоровья.</w:t>
            </w:r>
          </w:p>
          <w:p>
            <w:pPr>
              <w:rPr>
                <w:rFonts w:ascii="Times New Roman" w:hAnsi="Times New Roman" w:eastAsia="Times New Roman" w:cs="Times New Roman"/>
                <w:color w:val="000000"/>
                <w:sz w:val="24"/>
                <w:spacing w:val="-2"/>
              </w:rPr>
              <w:spacing w:line="184"/>
            </w:pPr>
          </w:p>
          <w:p>
            <w:pPr>
              <w:rPr>
                <w:rFonts w:ascii="Times New Roman" w:hAnsi="Times New Roman" w:eastAsia="Times New Roman" w:cs="Times New Roman"/>
                <w:color w:val="000000"/>
                <w:sz w:val="24"/>
                <w:spacing w:val="-2"/>
              </w:rPr>
              <w:spacing w:line="184"/>
            </w:pPr>
          </w:p>
          <w:p/>
        </w:tc>
        <w:tc>
          <w:tcPr>
            <w:tcW w:w="15" w:type="dxa"/>
            <w:tcBorders>
              <w:left w:val="single" w:sz="5" w:space="0" w:color="000000"/>
            </w:tcBorders>
          </w:tcPr>
          <w:p/>
        </w:tc>
      </w:tr>
      <w:tr>
        <w:trPr>
          <w:trHeight w:hRule="exact" w:val="1633"/>
        </w:trPr>
        <w:tc>
          <w:tcPr>
            <w:tcW w:w="15603" w:type="dxa"/>
            <w:gridSpan w:val="3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5" w:type="dxa"/>
            <w:tcBorders>
              <w:left w:val="single" w:sz="5" w:space="0" w:color="000000"/>
            </w:tcBorders>
          </w:tcPr>
          <w:p/>
        </w:tc>
      </w:tr>
      <w:tr>
        <w:trPr>
          <w:trHeight w:hRule="exact" w:val="2866"/>
        </w:trPr>
        <w:tc>
          <w:tcPr>
            <w:tcW w:w="15603" w:type="dxa"/>
            <w:gridSpan w:val="35"/>
            <w:vMerge w:val="restart"/>
            <w:tcMar>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 Региональный проект направлен на достижение цели национального проекта «Демография» по увеличению ожидаемой продолжительности здоровой жизни до 67 лет, увеличение обращаемости в медицинские организации по вопросам здорового образа жизни, в том числе увеличение числа лиц, которым рекомендованы индивидуальные планы по здоровому образу жизни, а также на достижение национальной цели по росту ожидаемой продолжительности жизни до 78 лет к 2024 году. Кроме того, мероприятия, связанные с формированием здоровья на производстве, которые в долгосрочной перспективе приведут к снижению случаев временной нетрудоспособности, дадут свой вклад в снижение бедности населения и повышения их доходов.</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Более того, мероприятия, запланированные в рамках данного регионального проекта должны оказать влияние на такие показатели национального проекта «Демография», как:</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увеличение суммарного коэффициента рождаемости (благодаря мероприятиям по укреплению репродуктивного здоровья);</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доля граждан, систематически занимающихся физической культурой и спортом (благодаря модельным муниципальным и корпоративным программам).</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В рамках регионального проекта объединены меры, направленные на формирование системы мотивации граждан к ведению здорового образа жизни. Предусматриваемые проектом мероприятия носят комплексный характер и включают разработку мер по дальнейшему ограничению потребления алкоголя, защите от табачного дыма, ликвидации микронутриентной недостаточности, сокращение потребления соли и сахара), мониторингу за состоянием питания различных групп населения с применением научных исследований.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Основной задачей регионального проекта является формирование среды, способствующей ведению гражданами здорового образа жизни, включая создание на базе существующих центров здоровья, центров общественного здоровья. Центры общественного здоровья должны стать центральным элементов в координации программ популяционной профилактики, реализуемых с участием представителей муниципальных властей, крупного и среднего бизнеса, волонтерских движений и НКО, специализирующихся в сфере общественного здоровья и здорового образа жизни.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Информационная поддержка будет осуществляться в рамках ежегодной информационно-коммуникационной кампании с охватом не менее 75% (не менее 70% в 2021 г.) аудитории граждан старше 12 лет по основным каналам: телевидение, радио и в информационно-телекоммуникационной сети «Интернет. При размещении информационных материалов будут задействованы механизмы таргетинга (география, демография, интересы, сообщества, путешествия, устройства). Указанные меры позволят лучше понять психологию пользователя и коммуникационно воздействовать на него на индивидуальном уровне.</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 повысив осведомленность граждан о принципах здорового образа жизни.</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Увеличение доли лиц, приверженных здоровому образу жизни, приведет к снижению заболеваемости и смертности от основных хронических и неинфекционных заболеваний (ХНИЗ) (сердечно-сосудистых, онкологических) и внешних причин (например, связанных с потреблением алкоголя) в </w:t>
            </w:r>
          </w:p>
          <w:p/>
        </w:tc>
        <w:tc>
          <w:tcPr>
            <w:tcW w:w="15" w:type="dxa"/>
            <w:tcBorders>
              <w:left w:val="single" w:sz="5" w:space="0" w:color="000000"/>
            </w:tcBorders>
          </w:tcPr>
          <w:p/>
        </w:tc>
      </w:tr>
      <w:tr>
        <w:trPr>
          <w:trHeight w:hRule="exact" w:val="2077"/>
        </w:trPr>
        <w:tc>
          <w:tcPr>
            <w:tcW w:w="15603" w:type="dxa"/>
            <w:gridSpan w:val="3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5" w:type="dxa"/>
            <w:tcBorders>
              <w:left w:val="single" w:sz="5" w:space="0" w:color="000000"/>
            </w:tcBorders>
          </w:tcPr>
          <w:p/>
        </w:tc>
      </w:tr>
      <w:tr>
        <w:trPr>
          <w:trHeight w:hRule="exact" w:val="2064"/>
        </w:trPr>
        <w:tc>
          <w:tcPr>
            <w:tcW w:w="15603" w:type="dxa"/>
            <w:gridSpan w:val="3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5" w:type="dxa"/>
            <w:tcBorders>
              <w:left w:val="single" w:sz="5" w:space="0" w:color="000000"/>
            </w:tcBorders>
          </w:tcPr>
          <w:p/>
        </w:tc>
      </w:tr>
      <w:tr>
        <w:trPr>
          <w:trHeight w:hRule="exact" w:val="429"/>
        </w:trPr>
        <w:tc>
          <w:tcPr>
            <w:tcW w:w="15603" w:type="dxa"/>
            <w:gridSpan w:val="35"/>
            <w:tcBorders>
              <w:top w:val="single" w:sz="5" w:space="0" w:color="000000"/>
            </w:tcBorders>
          </w:tcPr>
          <w:p/>
        </w:tc>
        <w:tc>
          <w:tcPr>
            <w:tcW w:w="15" w:type="dxa"/>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r>
      <w:tr>
        <w:trPr>
          <w:trHeight w:hRule="exact" w:val="430"/>
        </w:trPr>
        <w:tc>
          <w:tcPr>
            <w:tcW w:w="15603" w:type="dxa"/>
            <w:gridSpan w:val="35"/>
            <w:tcBorders>
              <w:bottom w:val="single" w:sz="5" w:space="0" w:color="000000"/>
            </w:tcBorders>
          </w:tcPr>
          <w:p/>
        </w:tc>
        <w:tc>
          <w:tcPr>
            <w:tcW w:w="15" w:type="dxa"/>
          </w:tcPr>
          <w:p/>
        </w:tc>
      </w:tr>
      <w:tr>
        <w:trPr>
          <w:trHeight w:hRule="exact" w:val="1247"/>
        </w:trPr>
        <w:tc>
          <w:tcPr>
            <w:tcW w:w="15603" w:type="dxa"/>
            <w:gridSpan w:val="35"/>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трудоспособном возрасте. Эффективная профилактика ХНИЗ будет реализована в рамках внедрения популяционной профилактической модели на базе создаваемых центров общественного здоровья. </w:t>
            </w:r>
          </w:p>
          <w:p>
            <w:pPr>
              <w:rPr>
                <w:rFonts w:ascii="Times New Roman" w:hAnsi="Times New Roman" w:eastAsia="Times New Roman" w:cs="Times New Roman"/>
                <w:color w:val="000000"/>
                <w:sz w:val="24"/>
                <w:spacing w:val="-2"/>
              </w:rPr>
              <w:spacing w:line="230"/>
            </w:pPr>
            <w:r>
              <w:rPr>
                <w:sz w:val="24"/>
                <w:szCs w:val="24"/>
                <w:rFonts w:ascii="Times New Roman" w:hAnsi="Times New Roman" w:eastAsia="Times New Roman" w:cs="Times New Roman"/>
                <w:spacing w:val="-2"/>
              </w:rPr>
              <w:t xml:space="preserve">Региональный проект включает мероприятия, запланированные ранее приоритетным проектом «Формирование здорового образа жизни», включая преемственность финансового обеспечения этих мероприятий.</w:t>
            </w:r>
          </w:p>
          <w:p/>
        </w:tc>
        <w:tc>
          <w:tcPr>
            <w:tcW w:w="15" w:type="dxa"/>
            <w:tcBorders>
              <w:left w:val="single" w:sz="5" w:space="0" w:color="000000"/>
            </w:tcBorders>
          </w:tcPr>
          <w:p/>
        </w:tc>
      </w:tr>
      <w:tr>
        <w:trPr>
          <w:trHeight w:hRule="exact" w:val="2865"/>
        </w:trPr>
        <w:tc>
          <w:tcPr>
            <w:tcW w:w="15603" w:type="dxa"/>
            <w:gridSpan w:val="35"/>
            <w:tcBorders>
              <w:top w:val="single" w:sz="5" w:space="0" w:color="000000"/>
            </w:tcBorders>
          </w:tcPr>
          <w:p/>
        </w:tc>
        <w:tc>
          <w:tcPr>
            <w:tcW w:w="15" w:type="dxa"/>
          </w:tcPr>
          <w:p/>
        </w:tc>
      </w:tr>
      <w:tr>
        <w:trPr>
          <w:trHeight w:hRule="exact" w:val="2866"/>
        </w:trPr>
        <w:tc>
          <w:tcPr>
            <w:tcW w:w="15618" w:type="dxa"/>
            <w:gridSpan w:val="36"/>
          </w:tcPr>
          <w:p/>
        </w:tc>
      </w:tr>
      <w:tr>
        <w:trPr>
          <w:trHeight w:hRule="exact" w:val="1877"/>
        </w:trPr>
        <w:tc>
          <w:tcPr>
            <w:tcW w:w="15618" w:type="dxa"/>
            <w:gridSpan w:val="36"/>
          </w:tcPr>
          <w:p/>
        </w:tc>
      </w:tr>
      <w:tr>
        <w:trPr>
          <w:trHeight w:hRule="exact" w:val="1862"/>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32</w:t>
            </w:r>
          </w:p>
        </w:tc>
      </w:tr>
      <w:tr>
        <w:trPr>
          <w:trHeight w:hRule="exact" w:val="430"/>
        </w:trPr>
        <w:tc>
          <w:tcPr>
            <w:tcW w:w="15618" w:type="dxa"/>
            <w:gridSpan w:val="36"/>
          </w:tcPr>
          <w:p/>
        </w:tc>
      </w:tr>
      <w:tr>
        <w:trPr>
          <w:trHeight w:hRule="exact" w:val="573"/>
        </w:trPr>
        <w:tc>
          <w:tcPr>
            <w:tcW w:w="11462" w:type="dxa"/>
            <w:gridSpan w:val="27"/>
          </w:tcPr>
          <w:p/>
        </w:tc>
        <w:tc>
          <w:tcPr>
            <w:tcW w:w="4156" w:type="dxa"/>
            <w:gridSpan w:val="9"/>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ПРИЛОЖЕНИЕ №1</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 паспорту регионального проекта</w:t>
            </w:r>
          </w:p>
        </w:tc>
      </w:tr>
      <w:tr>
        <w:trPr>
          <w:trHeight w:hRule="exact" w:val="573"/>
        </w:trPr>
        <w:tc>
          <w:tcPr>
            <w:tcW w:w="11462" w:type="dxa"/>
            <w:gridSpan w:val="27"/>
          </w:tcPr>
          <w:p/>
        </w:tc>
        <w:tc>
          <w:tcPr>
            <w:tcW w:w="4156" w:type="dxa"/>
            <w:gridSpan w:val="9"/>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Укрепление общественного здоровья (Республика Коми)</w:t>
            </w:r>
          </w:p>
        </w:tc>
      </w:tr>
      <w:tr>
        <w:trPr>
          <w:trHeight w:hRule="exact" w:val="144"/>
        </w:trPr>
        <w:tc>
          <w:tcPr>
            <w:tcW w:w="860" w:type="dxa"/>
            <w:gridSpan w:val="3"/>
            <w:shd w:val="clear" w:color="auto" w:fill="auto"/>
          </w:tcPr>
          <w:p>
            <w:pPr>
              <w:spacing w:line="230"/>
              <w:rPr>
                <w:rFonts w:ascii="Arial" w:hAnsi="Arial" w:eastAsia="Arial" w:cs="Arial"/>
                <w:color w:val="auto"/>
                <w:sz w:val="16"/>
                <w:spacing w:val="-2"/>
              </w:rPr>
            </w:pPr>
            <w:r>
              <w:rPr>
                <w:rFonts w:ascii="Arial" w:hAnsi="Arial" w:eastAsia="Arial" w:cs="Arial"/>
                <w:color w:val="auto"/>
                <w:sz w:val="16"/>
                <w:spacing w:val="-2"/>
              </w:rPr>
              <w:t xml:space="preserve">0</w:t>
            </w:r>
          </w:p>
        </w:tc>
        <w:tc>
          <w:tcPr>
            <w:tcW w:w="14758" w:type="dxa"/>
            <w:gridSpan w:val="33"/>
            <w:vAlign w:val="center"/>
            <w:shd w:val="clear" w:color="auto" w:fill="auto"/>
          </w:tcPr>
          <w:p>
            <w:pPr>
              <w:spacing w:line="230"/>
              <w:jc w:val="center"/>
              <w:rPr>
                <w:rFonts w:ascii="Times New Roman" w:hAnsi="Times New Roman" w:eastAsia="Times New Roman" w:cs="Times New Roman"/>
                <w:color w:val="000000"/>
                <w:sz w:val="28"/>
                <w:spacing w:val="-2"/>
              </w:rPr>
            </w:pPr>
          </w:p>
        </w:tc>
      </w:tr>
      <w:tr>
        <w:trPr>
          <w:trHeight w:hRule="exact" w:val="716"/>
        </w:trPr>
        <w:tc>
          <w:tcPr>
            <w:tcW w:w="15618" w:type="dxa"/>
            <w:gridSpan w:val="36"/>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ПЛАН МЕРОПРИЯТИЙ</w:t>
            </w:r>
          </w:p>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по реализации регионального проекта</w:t>
            </w: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23"/>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Обеспечено внедрение модели организации и функционирования регионального центра общественного здоровья на базе Центра медицинской профилактики ГУ «Республиканский врачебно-физкультурный диспансер»</w:t>
            </w:r>
            <w:r>
              <w:rPr>
                <w:color w:val="FFFFFF"/>
                <w:sz w:val="24"/>
                <w:szCs w:val="24"/>
                <w:rFonts w:ascii="Times New Roman" w:hAnsi="Times New Roman" w:eastAsia="Times New Roman" w:cs="Times New Roman"/>
                <w:spacing w:val="-2"/>
              </w:rPr>
              <w:t xml:space="preserve">0</w:t>
            </w:r>
          </w:p>
          <w:p/>
        </w:tc>
        <w:tc>
          <w:tcPr>
            <w:tcW w:w="1290"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15.12.2020</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c>
          <w:tcPr>
            <w:tcW w:w="1863"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662"/>
        </w:trPr>
        <w:tc>
          <w:tcPr>
            <w:tcW w:w="15618" w:type="dxa"/>
            <w:gridSpan w:val="36"/>
            <w:tcBorders>
              <w:top w:val="single" w:sz="5" w:space="0" w:color="000000"/>
            </w:tcBorders>
          </w:tcPr>
          <w:p/>
        </w:tc>
      </w:tr>
      <w:tr>
        <w:trPr>
          <w:trHeight w:hRule="exact" w:val="1647"/>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33</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23"/>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Обеспечено внедрение модели организации и функционирования первичного центра общественного здоровья на базе 1 центра здоровья в ГБУЗ РК «Воркутинская поликлиника»</w:t>
            </w:r>
            <w:r>
              <w:rPr>
                <w:color w:val="FFFFFF"/>
                <w:sz w:val="24"/>
                <w:szCs w:val="24"/>
                <w:rFonts w:ascii="Times New Roman" w:hAnsi="Times New Roman" w:eastAsia="Times New Roman" w:cs="Times New Roman"/>
                <w:spacing w:val="-2"/>
              </w:rPr>
              <w:t xml:space="preserve">0</w:t>
            </w:r>
          </w:p>
          <w:p/>
        </w:tc>
        <w:tc>
          <w:tcPr>
            <w:tcW w:w="1290"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c>
          <w:tcPr>
            <w:tcW w:w="1863"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22"/>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Обеспечено внедрение модели организации и функционирования первичного центра общественного здоровья на базе 3 центров здоровья ГБУЗ РК «Ухтинская городская поликлиника», ГБУЗ РК «Ухтинская детская больница», ГБУЗ РК «Сыктывкарская детская поликлиника»</w:t>
            </w:r>
            <w:r>
              <w:rPr>
                <w:color w:val="FFFFFF"/>
                <w:sz w:val="24"/>
                <w:szCs w:val="24"/>
                <w:rFonts w:ascii="Times New Roman" w:hAnsi="Times New Roman" w:eastAsia="Times New Roman" w:cs="Times New Roman"/>
                <w:spacing w:val="-2"/>
              </w:rPr>
              <w:t xml:space="preserve">0</w:t>
            </w:r>
          </w:p>
          <w:p/>
        </w:tc>
        <w:tc>
          <w:tcPr>
            <w:tcW w:w="1290"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Осуществлено внедрение новой модели организации и функционирования центров общественного здоровья, включая создание центров общественного здоровья, внедрение новой учетно-отчетной документации</w:t>
            </w:r>
          </w:p>
          <w:p/>
        </w:tc>
        <w:tc>
          <w:tcPr>
            <w:tcW w:w="1863"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717"/>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631"/>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Проведен ежегодный конкурс по отбору </w:t>
            </w:r>
          </w:p>
          <w:p/>
        </w:tc>
        <w:tc>
          <w:tcPr>
            <w:tcW w:w="1290"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30.07.201</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 к исполнению </w:t>
            </w:r>
          </w:p>
          <w:p/>
        </w:tc>
        <w:tc>
          <w:tcPr>
            <w:tcW w:w="1863"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444"/>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34</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35</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167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здравоохранения Республики Коми.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67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178"/>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30.07.2020</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2178"/>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36</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47"/>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433"/>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96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37</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30.07.2021</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2422"/>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42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38</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593"/>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594"/>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521"/>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w:t>
            </w:r>
          </w:p>
          <w:p/>
        </w:tc>
        <w:tc>
          <w:tcPr>
            <w:tcW w:w="1290"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30.07.2022</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w:t>
            </w:r>
          </w:p>
          <w:p/>
        </w:tc>
        <w:tc>
          <w:tcPr>
            <w:tcW w:w="1863"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39</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здравоохранения Республики Коми</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Направлено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40</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1505"/>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информационное письмо в муниципальные образования и медицинские организации Республики Коми</w:t>
            </w:r>
          </w:p>
          <w:p/>
        </w:tc>
        <w:tc>
          <w:tcPr>
            <w:tcW w:w="1863"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Муниципальные образования внедрили муниципальные программы общественного здоровья</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Совершаева М. А., Заместитель министра здравоохранения Республики Коми</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10"/>
                <w:szCs w:val="1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100% муниципальных образований на основании рекомендованной Минздравом России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(нарастающим итогом), предусмотрено соответствующее финансирование.</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соответствии с данными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167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662"/>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41</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1934"/>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программами будет продолжена реализация мероприятий по снижению действия основных факторов риска НИЗ, первичной профилактике заболеваний полости рта, а также мероприятий, направленных на профилактику заболеваний репродуктивной сферы у мужчин.</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93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8.2</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8.2.1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8.3</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8.3.1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419"/>
        </w:trPr>
        <w:tc>
          <w:tcPr>
            <w:tcW w:w="15618" w:type="dxa"/>
            <w:gridSpan w:val="36"/>
            <w:tcBorders>
              <w:top w:val="single" w:sz="5" w:space="0" w:color="000000"/>
            </w:tcBorders>
          </w:tcPr>
          <w:p/>
        </w:tc>
      </w:tr>
      <w:tr>
        <w:trPr>
          <w:trHeight w:hRule="exact" w:val="429"/>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42</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8.4</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8.4.1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8.5</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8.5.1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Проведен ежегодный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30.07.2023</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 конкурс по отбору проектов на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29"/>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43</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82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19"/>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9.1.1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204"/>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Проведен ежегодный конкурс по отбору проектов на предоставление субсидий некоммерческим организациям, реализующим </w:t>
            </w:r>
          </w:p>
          <w:p/>
        </w:tc>
        <w:tc>
          <w:tcPr>
            <w:tcW w:w="1290"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30.07.2024</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 к исполнению нормативный правовой акт, регламентирующий </w:t>
            </w:r>
          </w:p>
          <w:p/>
        </w:tc>
        <w:tc>
          <w:tcPr>
            <w:tcW w:w="1863"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430"/>
        </w:trPr>
        <w:tc>
          <w:tcPr>
            <w:tcW w:w="15618" w:type="dxa"/>
            <w:gridSpan w:val="36"/>
            <w:tcBorders>
              <w:top w:val="single" w:sz="5" w:space="0" w:color="000000"/>
            </w:tcBorders>
          </w:tcPr>
          <w:p/>
        </w:tc>
      </w:tr>
      <w:tr>
        <w:trPr>
          <w:trHeight w:hRule="exact" w:val="429"/>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44</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проекты по формированию приверженности здоровому образу жизни в соответствии с утвержденным и внедренным федеральным Порядком, размещены наилучшие проекты на официальном сайте Министерства здравоохранения Республики Коми</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Принято к исполнению положение о конкурсе по предоставлению субсидий некоммерческим организациям, реализующим проекты по формированию приверженности здоровому образу жизни, утвержденное приказом Минздрава России.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 конкурс по отбору проектов на предоставление субсидий некоммерческим организациям, реализующим проекты по формированию приверженности здоровому образу жизни.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Наилучшие проекты, ставшие победителями конкурса, размещены на официальном сайте Министерства здравоохранения Республики Коми.</w:t>
            </w:r>
          </w:p>
          <w:p>
            <w:pPr>
              <w:rPr>
                <w:rFonts w:ascii="Times New Roman" w:hAnsi="Times New Roman" w:eastAsia="Times New Roman" w:cs="Times New Roman"/>
                <w:color w:val="000000"/>
                <w:sz w:val="24"/>
                <w:spacing w:val="-2"/>
              </w:rPr>
              <w:spacing w:line="230"/>
              <w:jc w:val="center"/>
            </w:pP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45</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22"/>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Внедрены рекомендации по наилучшим практикам реализации волонтерства в сфере охраны здоровья.</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Направлено информационное письмо в муниципальные образования и медицинские организации Республики Коми</w:t>
            </w:r>
          </w:p>
          <w:p/>
        </w:tc>
        <w:tc>
          <w:tcPr>
            <w:tcW w:w="1863"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10.1.1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450"/>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За 2019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15.12.2019</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Основными направлениями информационно-коммуникационной кампании являются: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243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46</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2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Подведены промежуточные итоги информационно-</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47</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2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167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677"/>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11.1.1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177"/>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За 2020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15.12.2020</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Основными направлениями информационно-</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2178"/>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48</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2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Подведены промежуточные итоги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49</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29"/>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180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80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12.1.1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049"/>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За 2021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15.12.2021</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Основными направлениями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2049"/>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Подведены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51</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193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934"/>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13.1.1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920"/>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За 2022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15.12.2022</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Основными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192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52</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53</w:t>
            </w:r>
          </w:p>
        </w:tc>
      </w:tr>
      <w:tr>
        <w:trPr>
          <w:trHeight w:hRule="exact" w:val="430"/>
        </w:trPr>
        <w:tc>
          <w:tcPr>
            <w:tcW w:w="15618" w:type="dxa"/>
            <w:gridSpan w:val="36"/>
            <w:tcBorders>
              <w:bottom w:val="single" w:sz="5" w:space="0" w:color="000000"/>
            </w:tcBorders>
          </w:tcPr>
          <w:p/>
        </w:tc>
      </w:tr>
      <w:tr>
        <w:trPr>
          <w:trHeight w:hRule="exact" w:val="429"/>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077"/>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064"/>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14.1.1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791"/>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За 2023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15.12.2023</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аудиторий. </w:t>
            </w:r>
          </w:p>
          <w:p>
            <w:pPr>
              <w:rPr>
                <w:rFonts w:ascii="Times New Roman" w:hAnsi="Times New Roman" w:eastAsia="Times New Roman" w:cs="Times New Roman"/>
                <w:color w:val="000000"/>
                <w:sz w:val="24"/>
                <w:spacing w:val="-2"/>
              </w:rPr>
              <w:spacing w:line="230"/>
              <w:jc w:val="center"/>
            </w:pP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1777"/>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54</w:t>
            </w:r>
          </w:p>
        </w:tc>
      </w:tr>
      <w:tr>
        <w:trPr>
          <w:trHeight w:hRule="exact" w:val="430"/>
        </w:trPr>
        <w:tc>
          <w:tcPr>
            <w:tcW w:w="15618" w:type="dxa"/>
            <w:gridSpan w:val="36"/>
            <w:tcBorders>
              <w:bottom w:val="single" w:sz="5" w:space="0" w:color="000000"/>
            </w:tcBorders>
          </w:tcPr>
          <w:p/>
        </w:tc>
      </w:tr>
      <w:tr>
        <w:trPr>
          <w:trHeight w:hRule="exact" w:val="429"/>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информационно-коммуникационной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55</w:t>
            </w:r>
          </w:p>
        </w:tc>
      </w:tr>
      <w:tr>
        <w:trPr>
          <w:trHeight w:hRule="exact" w:val="430"/>
        </w:trPr>
        <w:tc>
          <w:tcPr>
            <w:tcW w:w="15618" w:type="dxa"/>
            <w:gridSpan w:val="36"/>
            <w:tcBorders>
              <w:bottom w:val="single" w:sz="5" w:space="0" w:color="000000"/>
            </w:tcBorders>
          </w:tcPr>
          <w:p/>
        </w:tc>
      </w:tr>
      <w:tr>
        <w:trPr>
          <w:trHeight w:hRule="exact" w:val="429"/>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20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кампании.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193"/>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662"/>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За 2024 год коммуникационной кампанией охвачено не менее 75% аудитории граждан старше 12 лет по основным каналам: телевидение, радио и в информационно-телекоммуникационной сети «Интернет»</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15.12.2024</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Адаптированы и распространены рекламно-информационные материалы для проведения информационно-коммуникационной кампании с использованием основных телекоммуникационных каналов для всех целевых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1648"/>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56</w:t>
            </w:r>
          </w:p>
        </w:tc>
      </w:tr>
      <w:tr>
        <w:trPr>
          <w:trHeight w:hRule="exact" w:val="430"/>
        </w:trPr>
        <w:tc>
          <w:tcPr>
            <w:tcW w:w="15618" w:type="dxa"/>
            <w:gridSpan w:val="36"/>
            <w:tcBorders>
              <w:bottom w:val="single" w:sz="5" w:space="0" w:color="000000"/>
            </w:tcBorders>
          </w:tcPr>
          <w:p/>
        </w:tc>
      </w:tr>
      <w:tr>
        <w:trPr>
          <w:trHeight w:hRule="exact" w:val="429"/>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аудиторий. </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Основными направлениями информационно-коммуникационной кампании являются: пропаганда сокращения потребления алкоголя; пропаганда сокращения потребления табака, а также иных форм потребления никотина; пропаганда ответственного отношения к рациону питания; пропаганда ответственного отношения к репродуктивному здоровью, в том числе профилактика абортов, и повышение приверженности вакцинации.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Проведена информационно-коммуникационная кампания с использованием основных телекоммуникационных каналов для всех целевых аудиторий. Представлен отчет о проведении информационно-</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57</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33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коммуникационной кампании.</w:t>
            </w: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Подведены промежуточные итоги информационно-коммуникационной кампании с использованием основных телекоммуникационных каналов для всех целевых аудиторий. Представлен промежуточный отчет о подведенных итогах реализации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33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16.1.1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734"/>
        </w:trPr>
        <w:tc>
          <w:tcPr>
            <w:tcW w:w="15618" w:type="dxa"/>
            <w:gridSpan w:val="36"/>
            <w:tcBorders>
              <w:top w:val="single" w:sz="5" w:space="0" w:color="000000"/>
            </w:tcBorders>
          </w:tcPr>
          <w:p/>
        </w:tc>
      </w:tr>
      <w:tr>
        <w:trPr>
          <w:trHeight w:hRule="exact" w:val="1733"/>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58</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В 2019 году обеспечено не менее 2 тысяч просмотров телевизионных и радиопрограмм, телевизионных документальных фильмов, Интернет-сайтов, направленных на пропаганду здорового образа жизни, физической культуры, спорта и здорового питания</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производства телевизионных и радиопрограмм, телевизионных документальных фильмов, направленных на пропаганду здорового образа жизни, физической культуры, спорта и здорового питания, создания в информационно-телекоммуникационной сети «Интернет» тематических Интернет-ресурсов.</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1819"/>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82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7"/>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17.1.1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633"/>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59</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207"/>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В 2019 году тираж периодических печатных изданий, реализовавших проекты, направленные на пропаганду здорового образа жизни, физической культуры, спорта и здорового питания, составил не менее 10 тысяч экземпляров</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31.12.2019</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периодическим печатным изданиям на реализацию проектов, направленных на пропаганду здорового образа жизни, физической культуры, спорта и здорового питания.</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2192"/>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716"/>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18.1.1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1662"/>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w:t>
            </w: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both"/>
            </w:pPr>
            <w:r>
              <w:rPr>
                <w:sz w:val="24"/>
                <w:szCs w:val="24"/>
                <w:rFonts w:ascii="Times New Roman" w:hAnsi="Times New Roman" w:eastAsia="Times New Roman" w:cs="Times New Roman"/>
                <w:spacing w:val="-2"/>
              </w:rPr>
              <w:t xml:space="preserve"> Внедрены корпоративные программы, содержащие наилучшие практики по укреплению здоровья работников</w:t>
            </w:r>
            <w:r>
              <w:rPr>
                <w:color w:val="FFFFFF"/>
                <w:sz w:val="24"/>
                <w:szCs w:val="24"/>
                <w:rFonts w:ascii="Times New Roman" w:hAnsi="Times New Roman" w:eastAsia="Times New Roman" w:cs="Times New Roman"/>
                <w:spacing w:val="-2"/>
              </w:rPr>
              <w:t xml:space="preserve">0</w:t>
            </w:r>
          </w:p>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15.12.2021</w:t>
            </w: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Кондратьева И. А., Начальник Управления организации медицинской помощи</w:t>
            </w: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6"/>
                <w:szCs w:val="6"/>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184"/>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По итогам пилотного проекта будет проработан вопрос о необходимости внесения изменений в законодательство Российской Федерации, включая Трудовой кодекс Российской Федерации, предусматривающие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r>
      <w:tr>
        <w:trPr>
          <w:trHeight w:hRule="exact" w:val="1647"/>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60</w:t>
            </w:r>
          </w:p>
        </w:tc>
      </w:tr>
      <w:tr>
        <w:trPr>
          <w:trHeight w:hRule="exact" w:val="430"/>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6"/>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6"/>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необходимость для работодателей внедрять корпоративные программы по укреплению здоровья работников.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184"/>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В субъектах Российской Федерации с организационно-методическим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информационно-разъяснительная работа с работодателями в целях внедрения корпоративных программ по укреплению здоровья работников.</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184"/>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Работодателями будут проведены мероприятия, </w:t>
            </w: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44"/>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61</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2865"/>
        </w:trPr>
        <w:tc>
          <w:tcPr>
            <w:tcW w:w="716" w:type="dxa"/>
            <w:gridSpan w:val="2"/>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указанные в корпоративных программах,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 отказа от курения и употребления алкогольных напитков, перехода на здоровое питание. </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r>
              <w:rPr>
                <w:sz w:val="24"/>
                <w:szCs w:val="24"/>
                <w:rFonts w:ascii="times new roman" w:hAnsi="times new roman" w:eastAsia="times new roman" w:cs="times new roman"/>
                <w:spacing w:val="-2"/>
              </w:rPr>
              <w:t xml:space="preserve">Примеры наилучших результатов по проведению корпоративных программ будут опубликованы на сайте Минздрава России, интернет-сайтах органов исполнительной власти пилотных регионов и в средствах массовой информации в рамках информационно-коммуникационной кампании.</w:t>
            </w: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184"/>
              <w:jc w:val="center"/>
            </w:pPr>
          </w:p>
          <w:p>
            <w:pPr>
              <w:rPr>
                <w:rFonts w:ascii="Times New Roman" w:hAnsi="Times New Roman" w:eastAsia="Times New Roman" w:cs="Times New Roman"/>
                <w:color w:val="000000"/>
                <w:sz w:val="24"/>
                <w:spacing w:val="-2"/>
              </w:rPr>
              <w:spacing w:line="230"/>
              <w:jc w:val="center"/>
            </w:pPr>
          </w:p>
          <w:p>
            <w:pPr>
              <w:rPr>
                <w:rFonts w:ascii="Times New Roman" w:hAnsi="Times New Roman" w:eastAsia="Times New Roman" w:cs="Times New Roman"/>
                <w:color w:val="000000"/>
                <w:sz w:val="24"/>
                <w:spacing w:val="-2"/>
              </w:rPr>
              <w:spacing w:line="230"/>
              <w:jc w:val="center"/>
            </w:pPr>
          </w:p>
          <w:p/>
        </w:tc>
        <w:tc>
          <w:tcPr>
            <w:tcW w:w="186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70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tcBorders>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62</w:t>
            </w:r>
          </w:p>
        </w:tc>
      </w:tr>
      <w:tr>
        <w:trPr>
          <w:trHeight w:hRule="exact" w:val="429"/>
        </w:trPr>
        <w:tc>
          <w:tcPr>
            <w:tcW w:w="15618" w:type="dxa"/>
            <w:gridSpan w:val="36"/>
            <w:tcBorders>
              <w:bottom w:val="single" w:sz="5" w:space="0" w:color="000000"/>
            </w:tcBorders>
          </w:tcPr>
          <w:p/>
        </w:tc>
      </w:tr>
      <w:tr>
        <w:trPr>
          <w:trHeight w:hRule="exact" w:val="430"/>
        </w:trPr>
        <w:tc>
          <w:tcPr>
            <w:tcW w:w="716" w:type="dxa"/>
            <w:gridSpan w:val="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515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Наименование результата, мероприятия, контрольной точки</w:t>
            </w:r>
          </w:p>
        </w:tc>
        <w:tc>
          <w:tcPr>
            <w:tcW w:w="258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Сроки реализации</w:t>
            </w:r>
          </w:p>
        </w:tc>
        <w:tc>
          <w:tcPr>
            <w:tcW w:w="2435"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исполнитель</w:t>
            </w:r>
          </w:p>
        </w:tc>
        <w:tc>
          <w:tcPr>
            <w:tcW w:w="2866"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Вид документа и характеристика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результата</w:t>
            </w:r>
          </w:p>
        </w:tc>
        <w:tc>
          <w:tcPr>
            <w:tcW w:w="1863"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контроля</w:t>
            </w:r>
          </w:p>
        </w:tc>
      </w:tr>
      <w:tr>
        <w:trPr>
          <w:trHeight w:hRule="exact" w:val="430"/>
        </w:trPr>
        <w:tc>
          <w:tcPr>
            <w:tcW w:w="716" w:type="dxa"/>
            <w:gridSpan w:val="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515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начало</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окончание</w:t>
            </w:r>
          </w:p>
        </w:tc>
        <w:tc>
          <w:tcPr>
            <w:tcW w:w="2435"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866"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7"/>
        </w:trPr>
        <w:tc>
          <w:tcPr>
            <w:tcW w:w="716"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5158"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129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243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2866"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863"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r>
      <w:tr>
        <w:trPr>
          <w:trHeight w:hRule="exact" w:val="1289"/>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4"/>
                <w:spacing w:val="-2"/>
              </w:rPr>
              <w:spacing w:line="184"/>
              <w:jc w:val="center"/>
            </w:pP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184"/>
              <w:jc w:val="center"/>
            </w:pPr>
          </w:p>
          <w:p>
            <w:pPr>
              <w:rPr>
                <w:rFonts w:ascii="Times New Roman" w:hAnsi="Times New Roman" w:eastAsia="Times New Roman" w:cs="Times New Roman"/>
                <w:color w:val="000000"/>
                <w:sz w:val="24"/>
                <w:spacing w:val="-2"/>
              </w:rPr>
              <w:spacing w:line="184"/>
              <w:jc w:val="center"/>
            </w:pPr>
          </w:p>
          <w:p>
            <w:pPr>
              <w:rPr>
                <w:rFonts w:ascii="Times New Roman" w:hAnsi="Times New Roman" w:eastAsia="Times New Roman" w:cs="Times New Roman"/>
                <w:color w:val="000000"/>
                <w:sz w:val="24"/>
                <w:spacing w:val="-2"/>
              </w:rPr>
              <w:spacing w:line="184"/>
              <w:jc w:val="center"/>
            </w:pPr>
          </w:p>
          <w:p>
            <w:pPr>
              <w:rPr>
                <w:rFonts w:ascii="Times New Roman" w:hAnsi="Times New Roman" w:eastAsia="Times New Roman" w:cs="Times New Roman"/>
                <w:color w:val="000000"/>
                <w:sz w:val="24"/>
                <w:spacing w:val="-2"/>
              </w:rPr>
              <w:spacing w:line="184"/>
              <w:jc w:val="center"/>
            </w:pPr>
          </w:p>
          <w:p>
            <w:pPr>
              <w:rPr>
                <w:rFonts w:ascii="Times New Roman" w:hAnsi="Times New Roman" w:eastAsia="Times New Roman" w:cs="Times New Roman"/>
                <w:color w:val="000000"/>
                <w:sz w:val="24"/>
                <w:spacing w:val="-2"/>
              </w:rPr>
              <w:spacing w:line="184"/>
              <w:jc w:val="center"/>
            </w:pPr>
          </w:p>
          <w:p/>
        </w:tc>
        <w:tc>
          <w:tcPr>
            <w:tcW w:w="1863"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7"/>
        </w:trPr>
        <w:tc>
          <w:tcPr>
            <w:tcW w:w="716" w:type="dxa"/>
            <w:gridSpan w:val="2"/>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19.1</w:t>
            </w:r>
          </w:p>
        </w:tc>
        <w:tc>
          <w:tcPr>
            <w:tcW w:w="5158" w:type="dxa"/>
            <w:gridSpan w:val="7"/>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Контрольная точка не задана</w:t>
            </w:r>
          </w:p>
        </w:tc>
        <w:tc>
          <w:tcPr>
            <w:tcW w:w="1290" w:type="dxa"/>
            <w:gridSpan w:val="4"/>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716"/>
        </w:trPr>
        <w:tc>
          <w:tcPr>
            <w:tcW w:w="716" w:type="dxa"/>
            <w:gridSpan w:val="2"/>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19.1.1</w:t>
            </w:r>
          </w:p>
        </w:tc>
        <w:tc>
          <w:tcPr>
            <w:tcW w:w="5158" w:type="dxa"/>
            <w:gridSpan w:val="7"/>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Мероприятия по контрольной точке отсутствуют</w:t>
            </w:r>
          </w:p>
        </w:tc>
        <w:tc>
          <w:tcPr>
            <w:tcW w:w="1290"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t>
            </w:r>
          </w:p>
        </w:tc>
        <w:tc>
          <w:tcPr>
            <w:tcW w:w="2435"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w:t>
            </w:r>
          </w:p>
        </w:tc>
        <w:tc>
          <w:tcPr>
            <w:tcW w:w="2866" w:type="dxa"/>
            <w:gridSpan w:val="8"/>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tc>
        <w:tc>
          <w:tcPr>
            <w:tcW w:w="1863"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r>
      <w:tr>
        <w:trPr>
          <w:trHeight w:hRule="exact" w:val="2866"/>
        </w:trPr>
        <w:tc>
          <w:tcPr>
            <w:tcW w:w="15618" w:type="dxa"/>
            <w:gridSpan w:val="36"/>
            <w:tcBorders>
              <w:top w:val="single" w:sz="5" w:space="0" w:color="000000"/>
            </w:tcBorders>
          </w:tcPr>
          <w:p/>
        </w:tc>
      </w:tr>
      <w:tr>
        <w:trPr>
          <w:trHeight w:hRule="exact" w:val="1991"/>
        </w:trPr>
        <w:tc>
          <w:tcPr>
            <w:tcW w:w="15618" w:type="dxa"/>
            <w:gridSpan w:val="36"/>
          </w:tcPr>
          <w:p/>
        </w:tc>
      </w:tr>
      <w:tr>
        <w:trPr>
          <w:trHeight w:hRule="exact" w:val="1992"/>
        </w:trPr>
        <w:tc>
          <w:tcPr>
            <w:tcW w:w="15618" w:type="dxa"/>
            <w:gridSpan w:val="36"/>
          </w:tcPr>
          <w:p/>
        </w:tc>
      </w:tr>
      <w:tr>
        <w:trPr>
          <w:trHeight w:hRule="exact" w:val="430"/>
        </w:trPr>
        <w:tc>
          <w:tcPr>
            <w:tcW w:w="15618" w:type="dxa"/>
            <w:gridSpan w:val="36"/>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63</w:t>
            </w:r>
          </w:p>
        </w:tc>
      </w:tr>
      <w:tr>
        <w:trPr>
          <w:trHeight w:hRule="exact" w:val="573"/>
        </w:trPr>
        <w:tc>
          <w:tcPr>
            <w:tcW w:w="11462" w:type="dxa"/>
            <w:gridSpan w:val="27"/>
          </w:tcPr>
          <w:p/>
        </w:tc>
        <w:tc>
          <w:tcPr>
            <w:tcW w:w="4156" w:type="dxa"/>
            <w:gridSpan w:val="9"/>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ПРИЛОЖЕНИЕ №2</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 паспорту регионального проекта</w:t>
            </w:r>
          </w:p>
        </w:tc>
      </w:tr>
      <w:tr>
        <w:trPr>
          <w:trHeight w:hRule="exact" w:val="573"/>
        </w:trPr>
        <w:tc>
          <w:tcPr>
            <w:tcW w:w="11462" w:type="dxa"/>
            <w:gridSpan w:val="27"/>
          </w:tcPr>
          <w:p/>
        </w:tc>
        <w:tc>
          <w:tcPr>
            <w:tcW w:w="4156" w:type="dxa"/>
            <w:gridSpan w:val="9"/>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Укрепление общественного здоровья (Республика Коми)</w:t>
            </w:r>
          </w:p>
        </w:tc>
      </w:tr>
      <w:tr>
        <w:trPr>
          <w:trHeight w:hRule="exact" w:val="859"/>
        </w:trPr>
        <w:tc>
          <w:tcPr>
            <w:tcW w:w="15618" w:type="dxa"/>
            <w:gridSpan w:val="36"/>
            <w:vAlign w:val="center"/>
            <w:tcBorders>
              <w:bottom w:val="single" w:sz="5" w:space="0" w:color="000000"/>
            </w:tcBorders>
            <w:shd w:val="clear" w:color="auto" w:fill="auto"/>
          </w:tcPr>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МЕТОДИКА</w:t>
            </w:r>
          </w:p>
          <w:p>
            <w:pPr>
              <w:spacing w:line="230"/>
              <w:jc w:val="center"/>
              <w:rPr>
                <w:rFonts w:ascii="Times New Roman" w:hAnsi="Times New Roman" w:eastAsia="Times New Roman" w:cs="Times New Roman"/>
                <w:color w:val="000000"/>
                <w:sz w:val="28"/>
                <w:spacing w:val="-2"/>
              </w:rPr>
            </w:pPr>
            <w:r>
              <w:rPr>
                <w:rFonts w:ascii="Times New Roman" w:hAnsi="Times New Roman" w:eastAsia="Times New Roman" w:cs="Times New Roman"/>
                <w:color w:val="000000"/>
                <w:sz w:val="28"/>
                <w:spacing w:val="-2"/>
              </w:rPr>
              <w:t xml:space="preserve">расчета дополнительных показателей регионального проекта</w:t>
            </w:r>
          </w:p>
        </w:tc>
      </w:tr>
      <w:tr>
        <w:trPr>
          <w:trHeight w:hRule="exact" w:val="860"/>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Методика расчета</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Базовые показатели</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Источник данных</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сбор данных</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агрегирования информации</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Временные характеристики</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Дополнительная информация</w:t>
            </w:r>
          </w:p>
        </w:tc>
      </w:tr>
      <w:tr>
        <w:trPr>
          <w:trHeight w:hRule="exact" w:val="287"/>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430"/>
        </w:trPr>
        <w:tc>
          <w:tcPr>
            <w:tcW w:w="15618" w:type="dxa"/>
            <w:gridSpan w:val="36"/>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алкогольной продукции на душу населения (в литрах этанола) л 100% спирта</w:t>
            </w:r>
          </w:p>
        </w:tc>
      </w:tr>
      <w:tr>
        <w:trPr>
          <w:trHeight w:hRule="exact" w:val="859"/>
        </w:trPr>
        <w:tc>
          <w:tcPr>
            <w:tcW w:w="57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алкогольной продукции на душу населения (в литрах)</w:t>
            </w:r>
          </w:p>
        </w:tc>
        <w:tc>
          <w:tcPr>
            <w:tcW w:w="2435"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Формы федерального статистического обследования №№ П-1, П-5(м), 3-ТОРГ(ПМ), ПМ, МП-микро, 1-ТОРГ, 1-конъюнктура</w:t>
            </w:r>
          </w:p>
        </w:tc>
        <w:tc>
          <w:tcPr>
            <w:tcW w:w="171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ПРОМЫШЛЕННОСТИ И ТОРГОВЛИ РОССИЙСКОЙ ФЕДЕРАЦИИ</w:t>
            </w:r>
          </w:p>
        </w:tc>
        <w:tc>
          <w:tcPr>
            <w:tcW w:w="157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РФ</w:t>
            </w:r>
          </w:p>
        </w:tc>
        <w:tc>
          <w:tcPr>
            <w:tcW w:w="1720"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 в год</w:t>
            </w:r>
          </w:p>
        </w:tc>
        <w:tc>
          <w:tcPr>
            <w:tcW w:w="3009" w:type="dxa"/>
            <w:gridSpan w:val="6"/>
            <w:vAlign w:val="center"/>
            <w:tcBorders>
              <w:top w:val="single" w:sz="5" w:space="0" w:color="000000"/>
              <w:left w:val="single" w:sz="5" w:space="0" w:color="000000"/>
              <w:right w:val="single" w:sz="5" w:space="0" w:color="000000"/>
            </w:tcBorders>
          </w:tcPr>
          <w:p>
            <w:pPr>
              <w:jc w:val="right"/>
            </w:pPr>
            <w:r>
              <w:rPr>
                <w:noProof/>
              </w:rPr>
              <w:drawing>
                <wp:inline distT="0" distB="0" distL="0" distR="0">
                  <wp:extent cx="1920317" cy="548206"/>
                  <wp:effectExtent l="0" t="0" r="0" b="0"/>
                  <wp:docPr id="2"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5" cstate="print"/>
                          <a:stretch>
                            <a:fillRect/>
                          </a:stretch>
                        </pic:blipFill>
                        <pic:spPr>
                          <a:xfrm>
                            <a:off x="0" y="0"/>
                            <a:ext cx="1920317" cy="548206"/>
                          </a:xfrm>
                          <a:prstGeom prst="rect">
                            <a:avLst/>
                          </a:prstGeom>
                        </pic:spPr>
                      </pic:pic>
                    </a:graphicData>
                  </a:graphic>
                </wp:inline>
              </w:drawing>
            </w:r>
          </w:p>
        </w:tc>
      </w:tr>
      <w:tr>
        <w:trPr>
          <w:trHeight w:hRule="exact" w:val="206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val="restart"/>
            <w:tcMar>
              <w:left w:w="72" w:type="dxa"/>
              <w:right w:w="72" w:type="dxa"/>
            </w:tcMar>
            <w:tcBorders>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Vалк – оборот розничной торговли алкогольными напитками в отчетном году;</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Vа– оборот розничной торговли алкогольными напитками торгующих организаций в отчетном году;</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Vп – оборот розничной торговли пивом и пивными напитками индивидуальных предпринимателей в отчетном году.</w:t>
            </w:r>
          </w:p>
        </w:tc>
      </w:tr>
      <w:tr>
        <w:trPr>
          <w:trHeight w:hRule="exact" w:val="2064"/>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left w:val="single" w:sz="5" w:space="0" w:color="000000"/>
              <w:bottom w:val="single" w:sz="5" w:space="0" w:color="000000"/>
              <w:right w:val="single" w:sz="5" w:space="0" w:color="000000"/>
            </w:tcBorders>
            <w:shd w:val="clear" w:color="auto" w:fill="auto"/>
          </w:tcPr>
          <w:p/>
        </w:tc>
      </w:tr>
      <w:tr>
        <w:trPr>
          <w:trHeight w:hRule="exact" w:val="1146"/>
        </w:trPr>
        <w:tc>
          <w:tcPr>
            <w:tcW w:w="15618" w:type="dxa"/>
            <w:gridSpan w:val="36"/>
            <w:tcBorders>
              <w:top w:val="single" w:sz="5" w:space="0" w:color="000000"/>
            </w:tcBorders>
          </w:tcPr>
          <w:p/>
        </w:tc>
      </w:tr>
      <w:tr>
        <w:trPr>
          <w:trHeight w:hRule="exact" w:val="430"/>
        </w:trPr>
        <w:tc>
          <w:tcPr>
            <w:tcW w:w="15618" w:type="dxa"/>
            <w:gridSpan w:val="36"/>
            <w:tcBorders>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64</w:t>
            </w:r>
          </w:p>
        </w:tc>
      </w:tr>
      <w:tr>
        <w:trPr>
          <w:trHeight w:hRule="exact" w:val="859"/>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Методика расчета</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Базовые показатели</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Источник данных</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сбор данных</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агрегирования информации</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Временные характеристики</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Дополнительная информация</w:t>
            </w:r>
          </w:p>
        </w:tc>
      </w:tr>
      <w:tr>
        <w:trPr>
          <w:trHeight w:hRule="exact" w:val="287"/>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430"/>
        </w:trPr>
        <w:tc>
          <w:tcPr>
            <w:tcW w:w="15618" w:type="dxa"/>
            <w:gridSpan w:val="36"/>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женщин в возрасте  16-54 лет  кг/м2</w:t>
            </w:r>
          </w:p>
        </w:tc>
      </w:tr>
      <w:tr>
        <w:trPr>
          <w:trHeight w:hRule="exact" w:val="860"/>
        </w:trPr>
        <w:tc>
          <w:tcPr>
            <w:tcW w:w="57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329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женщин в возрасте 16-54 лет (на 100 тысяч населения) </w:t>
            </w:r>
          </w:p>
        </w:tc>
        <w:tc>
          <w:tcPr>
            <w:tcW w:w="2435"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mх - Смертность женщин в возрасте 16-54 лет (на 100 тысяс населения) , кг/м2</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Форма №1-У "Сведения об умерших".</w:t>
            </w:r>
          </w:p>
        </w:tc>
        <w:tc>
          <w:tcPr>
            <w:tcW w:w="171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РЕСПУБЛИКИ КОМИ</w:t>
            </w:r>
          </w:p>
        </w:tc>
        <w:tc>
          <w:tcPr>
            <w:tcW w:w="157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Муниципальные образования субъектов РФ</w:t>
            </w:r>
          </w:p>
        </w:tc>
        <w:tc>
          <w:tcPr>
            <w:tcW w:w="1720"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 15 декабря</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Ежегодно </w:t>
            </w:r>
          </w:p>
        </w:tc>
        <w:tc>
          <w:tcPr>
            <w:tcW w:w="3009" w:type="dxa"/>
            <w:gridSpan w:val="6"/>
            <w:vAlign w:val="center"/>
            <w:tcBorders>
              <w:top w:val="single" w:sz="5" w:space="0" w:color="000000"/>
              <w:left w:val="single" w:sz="5" w:space="0" w:color="000000"/>
              <w:right w:val="single" w:sz="5" w:space="0" w:color="000000"/>
            </w:tcBorders>
          </w:tcPr>
          <w:p>
            <w:pPr>
              <w:jc w:val="right"/>
            </w:pPr>
            <w:r>
              <w:rPr>
                <w:noProof/>
              </w:rPr>
              <w:drawing>
                <wp:inline distT="0" distB="0" distL="0" distR="0">
                  <wp:extent cx="1920317" cy="548844"/>
                  <wp:effectExtent l="0" t="0" r="0" b="0"/>
                  <wp:docPr id="3" name="Picture 2" descr="Image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2.jpg"/>
                          <pic:cNvPicPr/>
                        </pic:nvPicPr>
                        <pic:blipFill>
                          <a:blip r:embed="rId6" cstate="print"/>
                          <a:stretch>
                            <a:fillRect/>
                          </a:stretch>
                        </pic:blipFill>
                        <pic:spPr>
                          <a:xfrm>
                            <a:off x="0" y="0"/>
                            <a:ext cx="1920317" cy="548844"/>
                          </a:xfrm>
                          <a:prstGeom prst="rect">
                            <a:avLst/>
                          </a:prstGeom>
                        </pic:spPr>
                      </pic:pic>
                    </a:graphicData>
                  </a:graphic>
                </wp:inline>
              </w:drawing>
            </w:r>
          </w:p>
        </w:tc>
      </w:tr>
      <w:tr>
        <w:trPr>
          <w:trHeight w:hRule="exact" w:val="167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val="restart"/>
            <w:tcMar>
              <w:left w:w="72" w:type="dxa"/>
              <w:right w:w="72" w:type="dxa"/>
            </w:tcMar>
            <w:tcBorders>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 – возраст;</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mх – коэффициент смертности населения в трудоспособном возрасте (мужчины в возрасте 16-59 лет, женщины – 16-54 года);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Мх – число умерших в трудоспособном возрасте;</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Sx – среднегодовая численность населения в трудоспособном возрасте.</w:t>
            </w:r>
          </w:p>
        </w:tc>
      </w:tr>
      <w:tr>
        <w:trPr>
          <w:trHeight w:hRule="exact" w:val="1662"/>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left w:val="single" w:sz="5" w:space="0" w:color="000000"/>
              <w:bottom w:val="single" w:sz="5" w:space="0" w:color="000000"/>
              <w:right w:val="single" w:sz="5" w:space="0" w:color="000000"/>
            </w:tcBorders>
            <w:shd w:val="clear" w:color="auto" w:fill="auto"/>
          </w:tcPr>
          <w:p/>
        </w:tc>
      </w:tr>
      <w:tr>
        <w:trPr>
          <w:trHeight w:hRule="exact" w:val="1977"/>
        </w:trPr>
        <w:tc>
          <w:tcPr>
            <w:tcW w:w="15618" w:type="dxa"/>
            <w:gridSpan w:val="36"/>
            <w:tcBorders>
              <w:top w:val="single" w:sz="5" w:space="0" w:color="000000"/>
            </w:tcBorders>
          </w:tcPr>
          <w:p/>
        </w:tc>
      </w:tr>
      <w:tr>
        <w:trPr>
          <w:trHeight w:hRule="exact" w:val="1978"/>
        </w:trPr>
        <w:tc>
          <w:tcPr>
            <w:tcW w:w="15618" w:type="dxa"/>
            <w:gridSpan w:val="36"/>
          </w:tcPr>
          <w:p/>
        </w:tc>
      </w:tr>
      <w:tr>
        <w:trPr>
          <w:trHeight w:hRule="exact" w:val="429"/>
        </w:trPr>
        <w:tc>
          <w:tcPr>
            <w:tcW w:w="15618" w:type="dxa"/>
            <w:gridSpan w:val="36"/>
            <w:tcBorders>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65</w:t>
            </w:r>
          </w:p>
        </w:tc>
      </w:tr>
      <w:tr>
        <w:trPr>
          <w:trHeight w:hRule="exact" w:val="860"/>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Методика расчета</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Базовые показатели</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Источник данных</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сбор данных</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агрегирования информации</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Временные характеристики</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Дополнительная информация</w:t>
            </w:r>
          </w:p>
        </w:tc>
      </w:tr>
      <w:tr>
        <w:trPr>
          <w:trHeight w:hRule="exact" w:val="287"/>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429"/>
        </w:trPr>
        <w:tc>
          <w:tcPr>
            <w:tcW w:w="15618" w:type="dxa"/>
            <w:gridSpan w:val="36"/>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мужчин в возрасте  16-59 лет  кг/м2</w:t>
            </w:r>
          </w:p>
        </w:tc>
      </w:tr>
      <w:tr>
        <w:trPr>
          <w:trHeight w:hRule="exact" w:val="860"/>
        </w:trPr>
        <w:tc>
          <w:tcPr>
            <w:tcW w:w="57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329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Смертность мужчин в возрасте 16-59 лет (на 100 тысяч населения) </w:t>
            </w:r>
          </w:p>
        </w:tc>
        <w:tc>
          <w:tcPr>
            <w:tcW w:w="2435"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mх - Смертность мужчин в возрасте 16-59 лет (на 100 тысяч населения) , кг/м2</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Данные Росстата</w:t>
            </w:r>
          </w:p>
        </w:tc>
        <w:tc>
          <w:tcPr>
            <w:tcW w:w="171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КИРОВСКОЙ ОБЛАСТИ</w:t>
            </w:r>
          </w:p>
        </w:tc>
        <w:tc>
          <w:tcPr>
            <w:tcW w:w="157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Муниципальные образования субъектов РФ</w:t>
            </w:r>
          </w:p>
        </w:tc>
        <w:tc>
          <w:tcPr>
            <w:tcW w:w="1720"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Один раз в год, показатель на дату</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Ежегодно</w:t>
            </w:r>
          </w:p>
        </w:tc>
        <w:tc>
          <w:tcPr>
            <w:tcW w:w="3009" w:type="dxa"/>
            <w:gridSpan w:val="6"/>
            <w:vAlign w:val="center"/>
            <w:tcBorders>
              <w:top w:val="single" w:sz="5" w:space="0" w:color="000000"/>
              <w:left w:val="single" w:sz="5" w:space="0" w:color="000000"/>
              <w:right w:val="single" w:sz="5" w:space="0" w:color="000000"/>
            </w:tcBorders>
          </w:tcPr>
          <w:p>
            <w:pPr>
              <w:jc w:val="right"/>
            </w:pPr>
            <w:r>
              <w:rPr>
                <w:noProof/>
              </w:rPr>
              <w:drawing>
                <wp:inline distT="0" distB="0" distL="0" distR="0">
                  <wp:extent cx="1920317" cy="548844"/>
                  <wp:effectExtent l="0" t="0" r="0" b="0"/>
                  <wp:docPr id="4" name="Picture 3" descr="Image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3.jpg"/>
                          <pic:cNvPicPr/>
                        </pic:nvPicPr>
                        <pic:blipFill>
                          <a:blip r:embed="rId7" cstate="print"/>
                          <a:stretch>
                            <a:fillRect/>
                          </a:stretch>
                        </pic:blipFill>
                        <pic:spPr>
                          <a:xfrm>
                            <a:off x="0" y="0"/>
                            <a:ext cx="1920317" cy="548844"/>
                          </a:xfrm>
                          <a:prstGeom prst="rect">
                            <a:avLst/>
                          </a:prstGeom>
                        </pic:spPr>
                      </pic:pic>
                    </a:graphicData>
                  </a:graphic>
                </wp:inline>
              </w:drawing>
            </w:r>
          </w:p>
        </w:tc>
      </w:tr>
      <w:tr>
        <w:trPr>
          <w:trHeight w:hRule="exact" w:val="167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val="restart"/>
            <w:tcMar>
              <w:left w:w="72" w:type="dxa"/>
              <w:right w:w="72" w:type="dxa"/>
            </w:tcMar>
            <w:tcBorders>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х – возраст;</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mх – коэффициент смертности населения в трудоспособном возрасте (мужчины в возрасте 16-59 лет, женщины – 16-54 года);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Мх – число умерших в трудоспособном возрасте;</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Sx – среднегодовая численность населения в трудоспособном возрасте.</w:t>
            </w:r>
          </w:p>
        </w:tc>
      </w:tr>
      <w:tr>
        <w:trPr>
          <w:trHeight w:hRule="exact" w:val="166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left w:val="single" w:sz="5" w:space="0" w:color="000000"/>
              <w:bottom w:val="single" w:sz="5" w:space="0" w:color="000000"/>
              <w:right w:val="single" w:sz="5" w:space="0" w:color="000000"/>
            </w:tcBorders>
            <w:shd w:val="clear" w:color="auto" w:fill="auto"/>
          </w:tcPr>
          <w:p/>
        </w:tc>
      </w:tr>
      <w:tr>
        <w:trPr>
          <w:trHeight w:hRule="exact" w:val="429"/>
        </w:trPr>
        <w:tc>
          <w:tcPr>
            <w:tcW w:w="15618" w:type="dxa"/>
            <w:gridSpan w:val="36"/>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сигарет и папирос на душу населения тыс. шт;</w:t>
            </w:r>
          </w:p>
        </w:tc>
      </w:tr>
      <w:tr>
        <w:trPr>
          <w:trHeight w:hRule="exact" w:val="860"/>
        </w:trPr>
        <w:tc>
          <w:tcPr>
            <w:tcW w:w="57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329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Розничные продажи сигарет и папирос на душу населения (тысяч штук)</w:t>
            </w:r>
          </w:p>
        </w:tc>
        <w:tc>
          <w:tcPr>
            <w:tcW w:w="2435"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 Розничные продажи сигарет и папирос на душу населения (тысяч штук), тыс. шт;</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Формы федерального статистического обследования №№ П-1, П-5(м), 3-ТОРГ(ПМ), ПМ, МП-</w:t>
            </w:r>
          </w:p>
        </w:tc>
        <w:tc>
          <w:tcPr>
            <w:tcW w:w="171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ПРОМЫШЛЕННОСТИ И ТОРГОВЛИ РОССИЙСКОЙ ФЕДЕРАЦИИ</w:t>
            </w:r>
          </w:p>
        </w:tc>
        <w:tc>
          <w:tcPr>
            <w:tcW w:w="157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РФ</w:t>
            </w:r>
          </w:p>
        </w:tc>
        <w:tc>
          <w:tcPr>
            <w:tcW w:w="1720"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раз в год</w:t>
            </w:r>
          </w:p>
        </w:tc>
        <w:tc>
          <w:tcPr>
            <w:tcW w:w="3009" w:type="dxa"/>
            <w:gridSpan w:val="6"/>
            <w:vAlign w:val="center"/>
            <w:tcBorders>
              <w:top w:val="single" w:sz="5" w:space="0" w:color="000000"/>
              <w:left w:val="single" w:sz="5" w:space="0" w:color="000000"/>
              <w:right w:val="single" w:sz="5" w:space="0" w:color="000000"/>
            </w:tcBorders>
          </w:tcPr>
          <w:p>
            <w:pPr>
              <w:jc w:val="right"/>
            </w:pPr>
            <w:r>
              <w:rPr>
                <w:noProof/>
              </w:rPr>
              <w:drawing>
                <wp:inline distT="0" distB="0" distL="0" distR="0">
                  <wp:extent cx="1920317" cy="548844"/>
                  <wp:effectExtent l="0" t="0" r="0" b="0"/>
                  <wp:docPr id="5" name="Picture 4" descr="Image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4.jpg"/>
                          <pic:cNvPicPr/>
                        </pic:nvPicPr>
                        <pic:blipFill>
                          <a:blip r:embed="rId8" cstate="print"/>
                          <a:stretch>
                            <a:fillRect/>
                          </a:stretch>
                        </pic:blipFill>
                        <pic:spPr>
                          <a:xfrm>
                            <a:off x="0" y="0"/>
                            <a:ext cx="1920317" cy="548844"/>
                          </a:xfrm>
                          <a:prstGeom prst="rect">
                            <a:avLst/>
                          </a:prstGeom>
                        </pic:spPr>
                      </pic:pic>
                    </a:graphicData>
                  </a:graphic>
                </wp:inline>
              </w:drawing>
            </w:r>
          </w:p>
        </w:tc>
      </w:tr>
      <w:tr>
        <w:trPr>
          <w:trHeight w:hRule="exact" w:val="2651"/>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tcMar>
              <w:top w:w="72" w:type="dxa"/>
              <w:left w:w="72" w:type="dxa"/>
              <w:right w:w="72" w:type="dxa"/>
            </w:tcMar>
            <w:tcBorders>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Vт	– объем розничной продажи табачных изделий за отчетный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Vтп-1	– объем розничной продажи табачных изделий организациями всех видов деятельности, не </w:t>
            </w:r>
          </w:p>
        </w:tc>
      </w:tr>
      <w:tr>
        <w:trPr>
          <w:trHeight w:hRule="exact" w:val="430"/>
        </w:trPr>
        <w:tc>
          <w:tcPr>
            <w:tcW w:w="15618" w:type="dxa"/>
            <w:gridSpan w:val="36"/>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66</w:t>
            </w:r>
          </w:p>
        </w:tc>
      </w:tr>
      <w:tr>
        <w:trPr>
          <w:trHeight w:hRule="exact" w:val="859"/>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Методика расчета</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Базовые показатели</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Источник данных</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сбор данных</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агрегирования информации</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Временные характеристики</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Дополнительная информация</w:t>
            </w:r>
          </w:p>
        </w:tc>
      </w:tr>
      <w:tr>
        <w:trPr>
          <w:trHeight w:hRule="exact" w:val="287"/>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2865"/>
        </w:trPr>
        <w:tc>
          <w:tcPr>
            <w:tcW w:w="57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микро, 1-ТОРГ, 1-конъюнктура</w:t>
            </w:r>
          </w:p>
        </w:tc>
        <w:tc>
          <w:tcPr>
            <w:tcW w:w="171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57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20"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009"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относящихся к субъектам малого предпринимательства, по данным ф.ф. №№ П-1 и П-5(м) нарастающим итогом за отчетный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Vт52/п-1	– объем розничной продажи табачных изделий организациями с основным видом деятельности «розничная торговля», не относящихся к субъектам малого предпринимательства, по данным ф.ф. №№ П-1 и П-5(м) нарастающим итогом за отчетный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Vт52/1-т	– объем розничной продажи табачных изделий организациями с основным видом деятельности «розничная торговля», не относящихся к субъектам малого предпринимательства, по данным ф. № 1-ТОРГ за отчетный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Кср	– среднегодовой процент сокрытия по </w:t>
            </w:r>
          </w:p>
        </w:tc>
      </w:tr>
      <w:tr>
        <w:trPr>
          <w:trHeight w:hRule="exact" w:val="2852"/>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51"/>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67</w:t>
            </w:r>
          </w:p>
        </w:tc>
      </w:tr>
      <w:tr>
        <w:trPr>
          <w:trHeight w:hRule="exact" w:val="859"/>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Методика расчета</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Базовые показатели</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Источник данных</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сбор данных</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агрегирования информации</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Временные характеристики</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Дополнительная информация</w:t>
            </w:r>
          </w:p>
        </w:tc>
      </w:tr>
      <w:tr>
        <w:trPr>
          <w:trHeight w:hRule="exact" w:val="287"/>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2866"/>
        </w:trPr>
        <w:tc>
          <w:tcPr>
            <w:tcW w:w="57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1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57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20"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009"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организациям, не относящимся к субъектам малого предпринимательства, осуществляющим розничную торговлю табачными изделиями, по данным  ф. № 1-конъюнктура;</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Vт50	– объем розничной продажи табачных изделий малыми предприятиями, представившими ф. № 3-ТОРГ(ПМ) нарастающим итогом за отчетный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Vпм	– сумма строк 07 «отгружено товаров собственного производства в порядке розничной торговли» и 09 «продано товаров несобственного производства в порядке розничной торговли» по всем малым предприятиям (распространенные данные) кроме предприятий с кодами ОКВЭД, входящими в 52 класс, подкласс 50.5 и группы 50.10.2, 50.30.2, </w:t>
            </w:r>
          </w:p>
        </w:tc>
      </w:tr>
      <w:tr>
        <w:trPr>
          <w:trHeight w:hRule="exact" w:val="2851"/>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51"/>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68</w:t>
            </w:r>
          </w:p>
        </w:tc>
      </w:tr>
      <w:tr>
        <w:trPr>
          <w:trHeight w:hRule="exact" w:val="860"/>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Методика расчета</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Базовые показатели</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Источник данных</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сбор данных</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агрегирования информации</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Временные характеристики</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Дополнительная информация</w:t>
            </w:r>
          </w:p>
        </w:tc>
      </w:tr>
      <w:tr>
        <w:trPr>
          <w:trHeight w:hRule="exact" w:val="286"/>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2866"/>
        </w:trPr>
        <w:tc>
          <w:tcPr>
            <w:tcW w:w="57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1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57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20"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009"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50.40.2, по данным               ф. № ПМ нарастающим итогом за отчетный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Wт3-тПМ	– удельный вес табачных изделий в общем обороте розничной торговли малых предприятий, паредставивших ф. № 3-ТОРГ(ПМ) нарастающим итогом за отчетный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Ксм	– среднегодовой процент сокрытия по малым предприятий (за исключением микропредприятий), осуществляющим розничную торговлю табачными изделиями;</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Vмикро	– оборот розничной торговли пищевыми продуктами, включая напитки, и табачными изделиями по всем торгующим микропредприятиям за отчетный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Wт23-тПМ	– удельный вес табачных изделий в обороте розничной торговли пищевых </w:t>
            </w:r>
          </w:p>
        </w:tc>
      </w:tr>
      <w:tr>
        <w:trPr>
          <w:trHeight w:hRule="exact" w:val="2851"/>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51"/>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15"/>
        </w:trPr>
        <w:tc>
          <w:tcPr>
            <w:tcW w:w="15618" w:type="dxa"/>
            <w:gridSpan w:val="36"/>
            <w:tcBorders>
              <w:top w:val="single" w:sz="5" w:space="0" w:color="000000"/>
            </w:tcBorders>
          </w:tcPr>
          <w:p/>
        </w:tc>
      </w:tr>
      <w:tr>
        <w:trPr>
          <w:trHeight w:hRule="exact" w:val="430"/>
        </w:trPr>
        <w:tc>
          <w:tcPr>
            <w:tcW w:w="15618" w:type="dxa"/>
            <w:gridSpan w:val="36"/>
            <w:tcBorders>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69</w:t>
            </w:r>
          </w:p>
        </w:tc>
      </w:tr>
      <w:tr>
        <w:trPr>
          <w:trHeight w:hRule="exact" w:val="859"/>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Методика расчета</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Базовые показатели</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Источник данных</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сбор данных</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агрегирования информации</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Временные характеристики</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Дополнительная информация</w:t>
            </w:r>
          </w:p>
        </w:tc>
      </w:tr>
      <w:tr>
        <w:trPr>
          <w:trHeight w:hRule="exact" w:val="287"/>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2865"/>
        </w:trPr>
        <w:tc>
          <w:tcPr>
            <w:tcW w:w="57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1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57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20"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009"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продуктов, включая напитки, и табачных изделий малых предприятий, паредставивших  ф. № 3-ТОРГ(ПМ) нарастающим итогом за отчетный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Кск	– среднегодовой процент сокрытия по микропредприятиям, осуществляющим розничную торговлю табачными изделиями. Так как ф. № 1-конъюнктура собирается с квартальной периодичностью, то на микропредприятия она не распространяется, следовательно,  Кмикро = Км;</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Vинд	– оборот розничной торговли пищевыми продуктами, включая напитки, и табачными изделиями индивидуальных предпринимателей в отчетном год;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Vтрынк	– объем розничной продажи табачных изделий на </w:t>
            </w:r>
          </w:p>
        </w:tc>
      </w:tr>
      <w:tr>
        <w:trPr>
          <w:trHeight w:hRule="exact" w:val="2852"/>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2851"/>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70</w:t>
            </w:r>
          </w:p>
        </w:tc>
      </w:tr>
      <w:tr>
        <w:trPr>
          <w:trHeight w:hRule="exact" w:val="859"/>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Методика расчета</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Базовые показатели</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Источник данных</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сбор данных</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агрегирования информации</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Временные характеристики</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Дополнительная информация</w:t>
            </w:r>
          </w:p>
        </w:tc>
      </w:tr>
      <w:tr>
        <w:trPr>
          <w:trHeight w:hRule="exact" w:val="287"/>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974"/>
        </w:trPr>
        <w:tc>
          <w:tcPr>
            <w:tcW w:w="57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19"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57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20"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009"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рынках по данным                ф. № Б-1 нарастающим итогом за отчетный год.</w:t>
            </w:r>
          </w:p>
        </w:tc>
      </w:tr>
      <w:tr>
        <w:trPr>
          <w:trHeight w:hRule="exact" w:val="430"/>
        </w:trPr>
        <w:tc>
          <w:tcPr>
            <w:tcW w:w="15618" w:type="dxa"/>
            <w:gridSpan w:val="36"/>
            <w:tcMar>
              <w:top w:w="72" w:type="dxa"/>
              <w:left w:w="72" w:type="dxa"/>
              <w:right w:w="72" w:type="dxa"/>
            </w:tcMar>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Обращаемость в медицинские организации по вопросам здорового образа жизни ТЫС ЧЕЛ</w:t>
            </w:r>
          </w:p>
        </w:tc>
      </w:tr>
      <w:tr>
        <w:trPr>
          <w:trHeight w:hRule="exact" w:val="860"/>
        </w:trPr>
        <w:tc>
          <w:tcPr>
            <w:tcW w:w="573" w:type="dxa"/>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329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Обращаемость в медицинские организации по вопросам здорового образа жизни (тысяч человек)</w:t>
            </w:r>
          </w:p>
        </w:tc>
        <w:tc>
          <w:tcPr>
            <w:tcW w:w="2435"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No - число обращений  по поводу факторов, влияющих на состояние здоровья населения и обращения в медицинские организации (с профилактической и иными целями), в том числе по поводу проблем, связанных с образом жизни , ТЫС ЧЕЛ</w:t>
            </w:r>
          </w:p>
        </w:tc>
        <w:tc>
          <w:tcPr>
            <w:tcW w:w="1290"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Форма № 12, утвержденная приказом Росстата от 31.07.2018 N 468 «Об утверждении статистического инструментария для организации федерального статистического наблюдения за ценами и </w:t>
            </w:r>
          </w:p>
        </w:tc>
        <w:tc>
          <w:tcPr>
            <w:tcW w:w="1719" w:type="dxa"/>
            <w:gridSpan w:val="5"/>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МИНИСТЕРСТВО ЗДРАВООХРАНЕНИЯ РЕСПУБЛИКИ КОМИ</w:t>
            </w:r>
          </w:p>
        </w:tc>
        <w:tc>
          <w:tcPr>
            <w:tcW w:w="1576" w:type="dxa"/>
            <w:gridSpan w:val="4"/>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Муниципальные образования субъектов РФ</w:t>
            </w:r>
          </w:p>
        </w:tc>
        <w:tc>
          <w:tcPr>
            <w:tcW w:w="1720" w:type="dxa"/>
            <w:gridSpan w:val="6"/>
            <w:vMerge w:val="restart"/>
            <w:tcMar>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За отчетный период</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Ежегодно</w:t>
            </w:r>
          </w:p>
        </w:tc>
        <w:tc>
          <w:tcPr>
            <w:tcW w:w="3009" w:type="dxa"/>
            <w:gridSpan w:val="6"/>
            <w:vAlign w:val="center"/>
            <w:tcBorders>
              <w:top w:val="single" w:sz="5" w:space="0" w:color="000000"/>
              <w:left w:val="single" w:sz="5" w:space="0" w:color="000000"/>
              <w:right w:val="single" w:sz="5" w:space="0" w:color="000000"/>
            </w:tcBorders>
          </w:tcPr>
          <w:p>
            <w:pPr>
              <w:jc w:val="right"/>
            </w:pPr>
            <w:r>
              <w:rPr>
                <w:noProof/>
              </w:rPr>
              <w:drawing>
                <wp:inline distT="0" distB="0" distL="0" distR="0">
                  <wp:extent cx="1920317" cy="548844"/>
                  <wp:effectExtent l="0" t="0" r="0" b="0"/>
                  <wp:docPr id="6" name="Picture 5" descr="Image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5.jpg"/>
                          <pic:cNvPicPr/>
                        </pic:nvPicPr>
                        <pic:blipFill>
                          <a:blip r:embed="rId9" cstate="print"/>
                          <a:stretch>
                            <a:fillRect/>
                          </a:stretch>
                        </pic:blipFill>
                        <pic:spPr>
                          <a:xfrm>
                            <a:off x="0" y="0"/>
                            <a:ext cx="1920317" cy="548844"/>
                          </a:xfrm>
                          <a:prstGeom prst="rect">
                            <a:avLst/>
                          </a:prstGeom>
                        </pic:spPr>
                      </pic:pic>
                    </a:graphicData>
                  </a:graphic>
                </wp:inline>
              </w:drawing>
            </w:r>
          </w:p>
        </w:tc>
      </w:tr>
      <w:tr>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val="restart"/>
            <w:tcMar>
              <w:left w:w="72" w:type="dxa"/>
              <w:right w:w="72" w:type="dxa"/>
            </w:tcMar>
            <w:tcBorders>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Формой предусмотрен сбор информации о числе обращений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по поводу факторов, влияющих на состояние здоровья населения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 обращения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медицинские организации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 профилактической и иными целями),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том числе по поводу проблем, связанных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с образом жизни (таблицах 1100, 2100, 3100 и 4100), </w:t>
            </w:r>
          </w:p>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 соответствии с Международной статистической классификацией болезней и проблем, связанных со здоровьем, Х пересмотра, утвержденной приказом Минздрава России от 27 </w:t>
            </w:r>
          </w:p>
        </w:tc>
      </w:tr>
      <w:tr>
        <w:trPr>
          <w:trHeight w:hRule="exact" w:val="1720"/>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left w:val="single" w:sz="5" w:space="0" w:color="000000"/>
              <w:bottom w:val="single" w:sz="5" w:space="0" w:color="000000"/>
              <w:right w:val="single" w:sz="5" w:space="0" w:color="000000"/>
            </w:tcBorders>
            <w:shd w:val="clear" w:color="auto" w:fill="auto"/>
          </w:tcPr>
          <w:p/>
        </w:tc>
      </w:tr>
      <w:tr>
        <w:trPr>
          <w:trHeight w:hRule="exact" w:val="1719"/>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2435"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tc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tc>
        <w:tc>
          <w:tcPr>
            <w:tcW w:w="1720" w:type="dxa"/>
            <w:gridSpan w:val="6"/>
            <w:vMerge/>
            <w:tcBorders>
              <w:top w:val="single" w:sz="5" w:space="0" w:color="000000"/>
              <w:left w:val="single" w:sz="5" w:space="0" w:color="000000"/>
              <w:bottom w:val="single" w:sz="5" w:space="0" w:color="000000"/>
              <w:right w:val="single" w:sz="5" w:space="0" w:color="000000"/>
            </w:tcBorders>
            <w:shd w:val="clear" w:color="auto" w:fill="auto"/>
          </w:tcPr>
          <w:p/>
        </w:tc>
        <w:tc>
          <w:tcPr>
            <w:tcW w:w="3009" w:type="dxa"/>
            <w:gridSpan w:val="6"/>
            <w:vMerge/>
            <w:tcBorders>
              <w:left w:val="single" w:sz="5" w:space="0" w:color="000000"/>
              <w:bottom w:val="single" w:sz="5" w:space="0" w:color="000000"/>
              <w:right w:val="single" w:sz="5" w:space="0" w:color="000000"/>
            </w:tcBorders>
            <w:shd w:val="clear" w:color="auto" w:fill="auto"/>
          </w:tcPr>
          <w:p/>
        </w:tc>
      </w:tr>
      <w:tr>
        <w:trPr>
          <w:trHeight w:hRule="exact" w:val="430"/>
        </w:trPr>
        <w:tc>
          <w:tcPr>
            <w:tcW w:w="15618" w:type="dxa"/>
            <w:gridSpan w:val="36"/>
            <w:tcBorders>
              <w:top w:val="single" w:sz="5" w:space="0" w:color="000000"/>
              <w:bottom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71</w:t>
            </w:r>
          </w:p>
        </w:tc>
      </w:tr>
      <w:tr>
        <w:trPr>
          <w:trHeight w:hRule="exact" w:val="860"/>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 п/п</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Методика расчета</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Базовые показатели</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Источник данных</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Ответственный за сбор данных</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Уровень агрегирования информации</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Временные характеристики</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Дополнительная информация</w:t>
            </w:r>
          </w:p>
        </w:tc>
      </w:tr>
      <w:tr>
        <w:trPr>
          <w:trHeight w:hRule="exact" w:val="286"/>
        </w:trPr>
        <w:tc>
          <w:tcPr>
            <w:tcW w:w="573" w:type="dxa"/>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1</w:t>
            </w:r>
          </w:p>
        </w:tc>
        <w:tc>
          <w:tcPr>
            <w:tcW w:w="329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2</w:t>
            </w:r>
          </w:p>
        </w:tc>
        <w:tc>
          <w:tcPr>
            <w:tcW w:w="243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3</w:t>
            </w:r>
          </w:p>
        </w:tc>
        <w:tc>
          <w:tcPr>
            <w:tcW w:w="129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4</w:t>
            </w:r>
          </w:p>
        </w:tc>
        <w:tc>
          <w:tcPr>
            <w:tcW w:w="1719"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5</w:t>
            </w:r>
          </w:p>
        </w:tc>
        <w:tc>
          <w:tcPr>
            <w:tcW w:w="1576"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6</w:t>
            </w:r>
          </w:p>
        </w:tc>
        <w:tc>
          <w:tcPr>
            <w:tcW w:w="172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7</w:t>
            </w:r>
          </w:p>
        </w:tc>
        <w:tc>
          <w:tcPr>
            <w:tcW w:w="3009"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8</w:t>
            </w:r>
          </w:p>
        </w:tc>
      </w:tr>
      <w:tr>
        <w:trPr>
          <w:trHeight w:hRule="exact" w:val="2551"/>
        </w:trPr>
        <w:tc>
          <w:tcPr>
            <w:tcW w:w="573" w:type="dxa"/>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29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2435"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both"/>
              <w:rPr>
                <w:rFonts w:ascii="Times New Roman" w:hAnsi="Times New Roman" w:eastAsia="Times New Roman" w:cs="Times New Roman"/>
                <w:color w:val="000000"/>
                <w:sz w:val="24"/>
                <w:spacing w:val="-2"/>
              </w:rPr>
            </w:pPr>
          </w:p>
        </w:tc>
        <w:tc>
          <w:tcPr>
            <w:tcW w:w="1290"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финансами».</w:t>
            </w:r>
          </w:p>
        </w:tc>
        <w:tc>
          <w:tcPr>
            <w:tcW w:w="1719" w:type="dxa"/>
            <w:gridSpan w:val="5"/>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576" w:type="dxa"/>
            <w:gridSpan w:val="4"/>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1720"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p>
        </w:tc>
        <w:tc>
          <w:tcPr>
            <w:tcW w:w="3009" w:type="dxa"/>
            <w:gridSpan w:val="6"/>
            <w:tcMar>
              <w:top w:w="72" w:type="dxa"/>
              <w:left w:w="72" w:type="dxa"/>
              <w:right w:w="72" w:type="dxa"/>
            </w:tcMar>
            <w:tcBorders>
              <w:top w:val="single" w:sz="5" w:space="0" w:color="000000"/>
              <w:left w:val="single" w:sz="5" w:space="0" w:color="000000"/>
              <w:bottom w:val="single" w:sz="5" w:space="0" w:color="000000"/>
              <w:right w:val="single" w:sz="5" w:space="0" w:color="000000"/>
            </w:tcBorders>
            <w:shd w:val="clear" w:color="auto" w:fill="auto"/>
          </w:tcPr>
          <w:p>
            <w:pPr>
              <w:spacing w:line="230"/>
              <w:jc w:val="center"/>
              <w:rPr>
                <w:rFonts w:ascii="Times New Roman" w:hAnsi="Times New Roman" w:eastAsia="Times New Roman" w:cs="Times New Roman"/>
                <w:color w:val="000000"/>
                <w:sz w:val="24"/>
                <w:spacing w:val="-2"/>
              </w:rPr>
            </w:pPr>
            <w:r>
              <w:rPr>
                <w:rFonts w:ascii="Times New Roman" w:hAnsi="Times New Roman" w:eastAsia="Times New Roman" w:cs="Times New Roman"/>
                <w:color w:val="000000"/>
                <w:sz w:val="24"/>
                <w:spacing w:val="-2"/>
              </w:rPr>
              <w:t xml:space="preserve">мая 1997 г. № 170, «Проблемы, связанные с образом жизни», входят в класс ХХI «Факторы, влияющие на состояние здоровья населения и обращения в учреждения здравоохранения» и имеют самостоятельный код Z72.</w:t>
            </w:r>
          </w:p>
        </w:tc>
      </w:tr>
    </w:tbl>
    <w:sectPr>
      <w:pgSz w:w="16834" w:h="13349" w:orient="landscape"/>
      <w:pgMar w:top="1134" w:right="576" w:bottom="526" w:left="576" w:header="1134" w:footer="526" w:gutter="0"/>
    </w:sectPr>
  </w:body>
</w:document>
</file>

<file path=word/fontTable.xml><?xml version="1.0" encoding="utf-8"?>
<w:fonts xmlns:r="http://schemas.openxmlformats.org/officeDocument/2006/relationships" xmlns:w="http://schemas.openxmlformats.org/wordprocessingml/2006/main">
  <w:font w:name="Calibri"/>
  <w:font w:name="Arial"/>
  <w:font w:name="Cambria"/>
  <w:font w:name="Times New Roman"/>
  <w:font w:name="times new roman"/>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image" Target="media/image00001.jpeg" /><Relationship Id="rId6" Type="http://schemas.openxmlformats.org/officeDocument/2006/relationships/image" Target="media/image00002.jpeg" /><Relationship Id="rId7" Type="http://schemas.openxmlformats.org/officeDocument/2006/relationships/image" Target="media/image00003.jpeg" /><Relationship Id="rId8" Type="http://schemas.openxmlformats.org/officeDocument/2006/relationships/image" Target="media/image00004.jpeg" /><Relationship Id="rId9" Type="http://schemas.openxmlformats.org/officeDocument/2006/relationships/image" Target="media/image00005.jpeg"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 2018.2.2 from 26 April 2018</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RP_Ukreplenie_obshhestvennogo_zdorov'ya_(Respublika_Komi)</dc:title>
  <dc:subject>RP_Ukreplenie_obshhestvennogo_zdorov'ya_(Respublika_Komi)</dc:subject>
  <dc:creator/>
  <cp:keywords/>
  <dc:description/>
  <cp:lastModifiedBy>Stimulsoft Reports 2018.2.2 from 26 April 2018</cp:lastModifiedBy>
  <cp:revision>1</cp:revision>
  <dcterms:created xsi:type="dcterms:W3CDTF">2019-07-30T10:29:50Z</dcterms:created>
  <dcterms:modified xsi:type="dcterms:W3CDTF">2019-07-30T10:29:50Z</dcterms:modified>
</cp:coreProperties>
</file>