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866"/>
        <w:gridCol w:w="286"/>
        <w:gridCol w:w="430"/>
        <w:gridCol w:w="860"/>
        <w:gridCol w:w="429"/>
        <w:gridCol w:w="430"/>
        <w:gridCol w:w="144"/>
        <w:gridCol w:w="429"/>
        <w:gridCol w:w="287"/>
        <w:gridCol w:w="287"/>
        <w:gridCol w:w="143"/>
        <w:gridCol w:w="143"/>
        <w:gridCol w:w="573"/>
        <w:gridCol w:w="144"/>
        <w:gridCol w:w="286"/>
        <w:gridCol w:w="573"/>
        <w:gridCol w:w="430"/>
        <w:gridCol w:w="143"/>
        <w:gridCol w:w="573"/>
        <w:gridCol w:w="430"/>
        <w:gridCol w:w="144"/>
        <w:gridCol w:w="143"/>
        <w:gridCol w:w="286"/>
        <w:gridCol w:w="717"/>
        <w:gridCol w:w="143"/>
        <w:gridCol w:w="287"/>
        <w:gridCol w:w="716"/>
        <w:gridCol w:w="430"/>
        <w:gridCol w:w="286"/>
        <w:gridCol w:w="430"/>
        <w:gridCol w:w="1132"/>
        <w:gridCol w:w="26"/>
      </w:tblGrid>
      <w:tr w:rsidR="009D7372">
        <w:trPr>
          <w:trHeight w:hRule="exact" w:val="1003"/>
        </w:trPr>
        <w:tc>
          <w:tcPr>
            <w:tcW w:w="15618" w:type="dxa"/>
            <w:gridSpan w:val="36"/>
          </w:tcPr>
          <w:p w:rsidR="009D7372" w:rsidRDefault="009D7372">
            <w:bookmarkStart w:id="0" w:name="_GoBack"/>
            <w:bookmarkEnd w:id="0"/>
          </w:p>
        </w:tc>
      </w:tr>
      <w:tr w:rsidR="009D7372">
        <w:trPr>
          <w:trHeight w:hRule="exact" w:val="387"/>
        </w:trPr>
        <w:tc>
          <w:tcPr>
            <w:tcW w:w="15618" w:type="dxa"/>
            <w:gridSpan w:val="36"/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9D7372">
        <w:trPr>
          <w:trHeight w:hRule="exact" w:val="43"/>
        </w:trPr>
        <w:tc>
          <w:tcPr>
            <w:tcW w:w="15618" w:type="dxa"/>
            <w:gridSpan w:val="36"/>
          </w:tcPr>
          <w:p w:rsidR="009D7372" w:rsidRDefault="009D7372"/>
        </w:tc>
      </w:tr>
      <w:tr w:rsidR="009D7372">
        <w:trPr>
          <w:trHeight w:hRule="exact" w:val="387"/>
        </w:trPr>
        <w:tc>
          <w:tcPr>
            <w:tcW w:w="15618" w:type="dxa"/>
            <w:gridSpan w:val="36"/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9D7372">
        <w:trPr>
          <w:trHeight w:hRule="exact" w:val="43"/>
        </w:trPr>
        <w:tc>
          <w:tcPr>
            <w:tcW w:w="15618" w:type="dxa"/>
            <w:gridSpan w:val="36"/>
          </w:tcPr>
          <w:p w:rsidR="009D7372" w:rsidRDefault="009D7372"/>
        </w:tc>
      </w:tr>
      <w:tr w:rsidR="009D7372">
        <w:trPr>
          <w:trHeight w:hRule="exact" w:val="573"/>
        </w:trPr>
        <w:tc>
          <w:tcPr>
            <w:tcW w:w="15618" w:type="dxa"/>
            <w:gridSpan w:val="3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9D7372">
        <w:trPr>
          <w:trHeight w:hRule="exact" w:val="716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9D7372">
        <w:trPr>
          <w:trHeight w:hRule="exact" w:val="573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федерального проекта</w:t>
            </w:r>
          </w:p>
        </w:tc>
        <w:tc>
          <w:tcPr>
            <w:tcW w:w="11033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9D7372">
        <w:trPr>
          <w:trHeight w:hRule="exact" w:val="573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72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300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начала и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окончания проекта</w:t>
            </w:r>
          </w:p>
        </w:tc>
        <w:tc>
          <w:tcPr>
            <w:tcW w:w="329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01.01.2019 - 31.12.2024</w:t>
            </w:r>
          </w:p>
        </w:tc>
      </w:tr>
      <w:tr w:rsidR="009D7372">
        <w:trPr>
          <w:trHeight w:hRule="exact" w:val="574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11033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Михальченкова Наталья Алексеевна, Заместитель Председателя Правительства Республики Коми</w:t>
            </w:r>
          </w:p>
        </w:tc>
      </w:tr>
      <w:tr w:rsidR="009D7372">
        <w:trPr>
          <w:trHeight w:hRule="exact" w:val="573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11033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Дмитрий Борисович, министр здравоохранения Республики Коми</w:t>
            </w:r>
          </w:p>
        </w:tc>
      </w:tr>
      <w:tr w:rsidR="009D7372">
        <w:trPr>
          <w:trHeight w:hRule="exact" w:val="573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11033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Дмитрий Борисович, министр здравоохранения Республики Коми</w:t>
            </w:r>
          </w:p>
        </w:tc>
      </w:tr>
      <w:tr w:rsidR="009D7372">
        <w:trPr>
          <w:trHeight w:hRule="exact" w:val="573"/>
        </w:trPr>
        <w:tc>
          <w:tcPr>
            <w:tcW w:w="458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 Российской Федерации</w:t>
            </w:r>
          </w:p>
        </w:tc>
        <w:tc>
          <w:tcPr>
            <w:tcW w:w="11033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</w:tcPr>
          <w:p w:rsidR="009D7372" w:rsidRDefault="009D7372"/>
        </w:tc>
      </w:tr>
      <w:tr w:rsidR="009D7372">
        <w:trPr>
          <w:trHeight w:hRule="exact" w:val="573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Цель и показатели регионального проекта</w:t>
            </w:r>
          </w:p>
        </w:tc>
      </w:tr>
      <w:tr w:rsidR="009D7372">
        <w:trPr>
          <w:trHeight w:hRule="exact" w:val="1762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мотивации граждан к здоровому образу жизни, включая здоровое питание и отказ от вредных привычек. Обеспечение к 2024 году увеличения доли граждан, ведущих здоровый образ жизни, за счет формир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ования среды, способствующей ведению гражданами здорового образа жизни, включая здоровое питание (в том числе ликвидацию микронутриентной недостаточности, сокращение потребления соли и сахара), защиту от табачного дыма, снижение потребления алкоголя; а 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же за счет мотивирования граждан к ведению здорового образа жизни посредством информационно-коммуникационной кампании, вовлечения граждан и некоммерческих организаций в мероприятия по укреплению общественного здоровья и разработки и внедрения корпоративных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программ укрепления здоровья (Республика Коми)</w:t>
            </w:r>
          </w:p>
        </w:tc>
      </w:tr>
      <w:tr w:rsidR="009D7372">
        <w:trPr>
          <w:trHeight w:hRule="exact" w:val="43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01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показателя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показателя</w:t>
            </w:r>
          </w:p>
        </w:tc>
        <w:tc>
          <w:tcPr>
            <w:tcW w:w="229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878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</w:tr>
      <w:tr w:rsidR="009D7372">
        <w:trPr>
          <w:trHeight w:hRule="exact" w:val="43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401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</w:tr>
      <w:tr w:rsidR="009D73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</w:tr>
      <w:tr w:rsidR="009D7372"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Отсутствует показатель федерального проекта</w:t>
            </w:r>
          </w:p>
        </w:tc>
      </w:tr>
      <w:tr w:rsidR="009D7372">
        <w:trPr>
          <w:trHeight w:hRule="exact" w:val="7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1.4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сигарет и папирос на душу населения, тыс. шт;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Дополнительный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2,0500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1,9500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1,9000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1,8500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1,8000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1,7500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1,7000</w:t>
            </w:r>
          </w:p>
        </w:tc>
      </w:tr>
      <w:tr w:rsidR="009D7372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Обращаемость в медицинские организации по вопросам здорового образа жизни, ТЫС ЧЕЛ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Дополнительный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2,5000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3,1000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3,4000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3,7000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4,2000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4,5000</w:t>
            </w:r>
          </w:p>
        </w:tc>
      </w:tr>
      <w:tr w:rsidR="009D7372"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</w:tr>
      <w:tr w:rsidR="009D7372">
        <w:trPr>
          <w:trHeight w:hRule="exact" w:val="9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этанола), л 100% спирта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10,1000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31.12.2016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9,8000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9,6000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9,5000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9,3000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9,2000</w:t>
            </w:r>
          </w:p>
        </w:tc>
      </w:tr>
      <w:tr w:rsidR="009D7372"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женщин в возрасте  16-54 лет </w:t>
            </w:r>
          </w:p>
        </w:tc>
      </w:tr>
      <w:tr w:rsidR="009D7372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Смертность женщин в возрасте  16-54 лет , кг/м2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259,3000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253,9000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250,1000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246,4000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242,7000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237,8000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232,8000</w:t>
            </w:r>
          </w:p>
        </w:tc>
      </w:tr>
      <w:tr w:rsidR="009D7372">
        <w:trPr>
          <w:trHeight w:hRule="exact" w:val="444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мужчин в возрасте  16-59 лет </w:t>
            </w:r>
          </w:p>
        </w:tc>
      </w:tr>
      <w:tr w:rsidR="009D7372">
        <w:trPr>
          <w:trHeight w:hRule="exact" w:val="7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Смертность мужчин в возрасте  16-59 лет , кг/м2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899,7000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834,0000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792,5000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750,9000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715,4000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684,8000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649,0000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</w:tcPr>
          <w:p w:rsidR="009D7372" w:rsidRDefault="009D7372"/>
        </w:tc>
      </w:tr>
      <w:tr w:rsidR="009D7372">
        <w:trPr>
          <w:trHeight w:hRule="exact" w:val="574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Результаты регионального проекта</w:t>
            </w:r>
          </w:p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716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Задача национального проекта (справочно из паспорта федерального проекта): Формирование системы мотивации граждан к здоровому образу жизни, включая здоровое питание и отказ от вредных привычек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</w:tr>
      <w:tr w:rsidR="009D7372">
        <w:trPr>
          <w:trHeight w:hRule="exact" w:val="229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902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 паспорта федерального проекта): 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драва России будет осуществлено внедрение новой модели организации и функционирования центров общественного здоровья, включая создание на базе центров здоровья и центров медицинской профилактики первичных (межмуниципальные) и региональных центров обществен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ного здоровья, внедрение новой учетно-отчетной документации.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01.01.2021</w:t>
            </w:r>
          </w:p>
          <w:p w:rsidR="009D7372" w:rsidRDefault="009D7372"/>
        </w:tc>
      </w:tr>
      <w:tr w:rsidR="009D7372">
        <w:trPr>
          <w:trHeight w:hRule="exact" w:val="111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Минздрава России будет осуществлено вне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9D7372" w:rsidRDefault="009D7372"/>
        </w:tc>
      </w:tr>
      <w:tr w:rsidR="009D7372">
        <w:trPr>
          <w:trHeight w:hRule="exact" w:val="14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_________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161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902" w:type="dxa"/>
            <w:gridSpan w:val="3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Муниципальные образования внедрили муниципальные программы общественного здоровья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Times New Roman" w:eastAsia="Times New Roman" w:hAnsi="Times New Roman" w:cs="Times New Roman"/>
                <w:spacing w:val="-2"/>
                <w:sz w:val="10"/>
                <w:szCs w:val="10"/>
              </w:rPr>
              <w:t xml:space="preserve">​ 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100% муниципальных образований на основании рекомендованной Минздравом России  типовой муниципальной программы по укреплению общественного здоровья органами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местного самоуправления будут утверждены муниципальные программы по укреплению общественного здоровья (нарастающим итогом), предусмотрено соответствующее финансирование.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данными программами будет продолжена реализация мероприятий по сниже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нию действия основных факторов риска НИЗ, первичной профилактике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15.12.2024</w:t>
            </w:r>
          </w:p>
          <w:p w:rsidR="009D7372" w:rsidRDefault="009D7372"/>
        </w:tc>
      </w:tr>
      <w:tr w:rsidR="009D7372">
        <w:trPr>
          <w:trHeight w:hRule="exact" w:val="161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86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внедрили муниципальные программы общественного здоровья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0"/>
                <w:szCs w:val="10"/>
              </w:rPr>
              <w:t xml:space="preserve">​ 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100% муниципальных образований на основании рекомендованной 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овья (нарастающим итогом), предусмотрено соответствующее финансирование.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данными программами будет продолжена реализация мероприятий по снижению действия основных факторов риска НИЗ, первичной профилактике заболеваний полости рта, а также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мероприятий, направленных на профилактику заболеваний репродуктивной сферы у мужчин.</w:t>
            </w:r>
          </w:p>
          <w:p w:rsidR="009D7372" w:rsidRDefault="009D7372"/>
        </w:tc>
      </w:tr>
      <w:tr w:rsidR="009D7372">
        <w:trPr>
          <w:trHeight w:hRule="exact" w:val="16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15.12.2020 - 20 ПРОЦ</w:t>
            </w:r>
          </w:p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15.12.2021 - 40 ПРОЦ</w:t>
            </w:r>
          </w:p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15.12.2022 - 60 ПРОЦ</w:t>
            </w:r>
          </w:p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15.12.2023 - 80 ПРОЦ</w:t>
            </w:r>
          </w:p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15.12.2024 - 100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6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902" w:type="dxa"/>
            <w:gridSpan w:val="3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Внедрены корпоративные программы, содержащие наилучшие практики по укреплению здоровья работников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кой Федерации, предусматривающие необходимость для работодателей внедрять корпоративные программы по укреплению здоровья работников. 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России с привлечением Фонда социального страхования Российской Федерации будет проведена информационно-разъяснительная работа с работодателями в целях внедрения корпоративных программ по укреплению здоровья работников.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ю здорового образа жизни, отказа от курения и употребления алкогольных напитков, перехода на здоровое питание. 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15.12.2024</w:t>
            </w:r>
          </w:p>
          <w:p w:rsidR="009D7372" w:rsidRDefault="009D7372"/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82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8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4902" w:type="dxa"/>
            <w:gridSpan w:val="3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1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64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корпоративные программы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укреплению здоровья работников. 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ционно-разъяснительная работа с работодателями в целях внедрения корпоративных программ по укреплению здоровья работников.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Работодателями будут проведены мероприятия, указанные в корпоративных программах, включая привлечение медицинских работников цент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ров общественного здоровья и центров здоровья для обследования работников и проведения школ и лекционных занятий по формированию здорового образа жизни, отказа от курения и употребления алкогольных напитков, перехода на здоровое питание. 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15.12.2021 - 1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6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59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D7372" w:rsidRDefault="009D73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/>
        </w:tc>
      </w:tr>
      <w:tr w:rsidR="009D7372">
        <w:trPr>
          <w:trHeight w:hRule="exact" w:val="15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902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Собственные результаты</w:t>
            </w:r>
          </w:p>
          <w:p w:rsidR="009D7372" w:rsidRDefault="009D7372"/>
        </w:tc>
      </w:tr>
      <w:tr w:rsidR="009D7372">
        <w:trPr>
          <w:trHeight w:hRule="exact" w:val="138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Осуществлено внедрение новой модели организации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9D7372" w:rsidRDefault="009D7372"/>
        </w:tc>
      </w:tr>
      <w:tr w:rsidR="009D7372">
        <w:trPr>
          <w:trHeight w:hRule="exact" w:val="57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15.12.2020 - 1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11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внедрение модели организации и функционирования первичного центра общественного здоровья на базе 1 центра здоровья в ГБУЗ РК «Воркутинская поликлиника»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енного здоровья, включая создание центров общественного здоровья, внедрение новой учетно-отчетной документации</w:t>
            </w:r>
          </w:p>
          <w:p w:rsidR="009D7372" w:rsidRDefault="009D7372"/>
        </w:tc>
      </w:tr>
      <w:tr w:rsidR="009D7372">
        <w:trPr>
          <w:trHeight w:hRule="exact" w:val="57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15.12.2024 - 1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1662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внедрение модели организации и функционирования первичного центра общественного здоровья на базе 3 центров здоровья ГБУЗ РК «Ухтинская городская поликлиника», ГБУЗ РК «Ухтинская детская больница», ГБУЗ РК «Сыктывкарская детская поликлиника»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2.2024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9D7372" w:rsidRDefault="009D7372"/>
        </w:tc>
      </w:tr>
      <w:tr w:rsidR="009D7372">
        <w:trPr>
          <w:trHeight w:hRule="exact" w:val="57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15.12.2024 - 3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20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4.4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Республики Коми.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D7372" w:rsidRDefault="009D7372"/>
        </w:tc>
      </w:tr>
      <w:tr w:rsidR="009D7372">
        <w:trPr>
          <w:trHeight w:hRule="exact" w:val="16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30.07.2019 - 1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61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220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4.5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проекты, ставшие победителями конкурса,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размещены на официальном сайте Министерства здравоохранен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Республики Коми.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D7372" w:rsidRDefault="009D7372"/>
        </w:tc>
      </w:tr>
      <w:tr w:rsidR="009D7372">
        <w:trPr>
          <w:trHeight w:hRule="exact" w:val="16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30.07.2020 - 1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61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220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4.6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Республики Коми.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D7372" w:rsidRDefault="009D7372"/>
        </w:tc>
      </w:tr>
      <w:tr w:rsidR="009D7372">
        <w:trPr>
          <w:trHeight w:hRule="exact" w:val="16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30.07.2021 - 1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62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220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4.7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Республики Коми.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D7372" w:rsidRDefault="009D7372"/>
        </w:tc>
      </w:tr>
      <w:tr w:rsidR="009D7372">
        <w:trPr>
          <w:trHeight w:hRule="exact" w:val="16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30.07.2022 - 1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61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220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4.8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проекты, ставшие победителями конкурса,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размещены на официальном сайте Министерства здравоохранен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Республики Коми.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D7372" w:rsidRDefault="009D7372"/>
        </w:tc>
      </w:tr>
      <w:tr w:rsidR="009D7372">
        <w:trPr>
          <w:trHeight w:hRule="exact" w:val="16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30.07.2023 - 1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61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220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4.9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Республики Коми.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D7372" w:rsidRDefault="009D7372"/>
        </w:tc>
      </w:tr>
      <w:tr w:rsidR="009D7372">
        <w:trPr>
          <w:trHeight w:hRule="exact" w:val="163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30.07.2024 - 1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61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4.10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ериалы для проведения информационно-коммуникационной кампании с использованием основных телекоммуникационных каналов для всех целевых аудиторий.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Основными направлениями информационно-коммуникационной кампании являются: пропаганда сокращения потребления алк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иверженности вакцинации.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информационно-коммуникационной кампании.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D7372" w:rsidRDefault="009D7372"/>
        </w:tc>
      </w:tr>
      <w:tr w:rsidR="009D7372">
        <w:trPr>
          <w:trHeight w:hRule="exact" w:val="256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15.12.2019 - 75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551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приверженности вакцинации.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</w:tr>
      <w:tr w:rsidR="009D7372">
        <w:trPr>
          <w:trHeight w:hRule="exact" w:val="245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15.12.2020 - 75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43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16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4.12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приверженности вакцинации.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</w:tr>
      <w:tr w:rsidR="009D7372">
        <w:trPr>
          <w:trHeight w:hRule="exact" w:val="245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15.12.2021 - 75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43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4.13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приверженности вакцинации.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</w:tr>
      <w:tr w:rsidR="009D7372">
        <w:trPr>
          <w:trHeight w:hRule="exact" w:val="245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15.12.2022 - 75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43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4.14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атериалы для проведения информационно-коммуникационной кампании с использованием основных телекоммуникационных каналов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для всех целевых аудиторий.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приверженности вакцинации.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</w:tr>
      <w:tr w:rsidR="009D7372">
        <w:trPr>
          <w:trHeight w:hRule="exact" w:val="245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15.12.2023 - 75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43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4.15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приверженности вакцинации.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</w:tr>
      <w:tr w:rsidR="009D7372">
        <w:trPr>
          <w:trHeight w:hRule="exact" w:val="245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15.12.2024 - 75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43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4.16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ем информационного обеспечения Администрации Главы Республики Коми в соответствии с установленным порядком оказана государственная поддержка производства телевизионных и радиопрограмм, телевизионных документальных фильмов, направленных на пропаганду здоров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ого образа жизни, физической культуры, спорта и здорового питания, создания в информационно-телекоммуникационной сети «Интернет» тематических Интернет-ресурсов.</w:t>
            </w:r>
          </w:p>
          <w:p w:rsidR="009D7372" w:rsidRDefault="009D7372"/>
        </w:tc>
      </w:tr>
      <w:tr w:rsidR="009D7372">
        <w:trPr>
          <w:trHeight w:hRule="exact" w:val="1161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31.12.2019 - 2000 -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9D7372">
        <w:trPr>
          <w:trHeight w:hRule="exact" w:val="139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4.17</w:t>
            </w:r>
          </w:p>
        </w:tc>
        <w:tc>
          <w:tcPr>
            <w:tcW w:w="702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6305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периодическим печатным изданиям на реализацию проектов, направленных на пропаганду здорового 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раза жизни, физической культуры, спорта и здорового питания.</w:t>
            </w:r>
          </w:p>
          <w:p w:rsidR="009D7372" w:rsidRDefault="009D7372"/>
        </w:tc>
      </w:tr>
      <w:tr w:rsidR="009D7372">
        <w:trPr>
          <w:trHeight w:hRule="exact" w:val="644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702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31.12.2019 - 10 ТЫС ЭКЗ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6305" w:type="dxa"/>
            <w:gridSpan w:val="1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</w:tcPr>
          <w:p w:rsidR="009D7372" w:rsidRDefault="009D7372"/>
        </w:tc>
      </w:tr>
      <w:tr w:rsidR="009D7372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9D7372" w:rsidRDefault="007C01AD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3"/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4. Финансовое обеспечение реализации регионального проекта</w:t>
            </w:r>
          </w:p>
          <w:p w:rsidR="009D7372" w:rsidRDefault="009D7372"/>
        </w:tc>
      </w:tr>
      <w:tr w:rsidR="009D7372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9D7372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444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D7372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1</w:t>
            </w:r>
          </w:p>
          <w:p w:rsidR="009D7372" w:rsidRDefault="009D7372"/>
        </w:tc>
        <w:tc>
          <w:tcPr>
            <w:tcW w:w="14615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 федерального проекта (справочно из паспорта федерального проекта): Субъекты Российской Федерации обеспечили внедрение модели организации и функционирования центров общественного здоровья.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</w:tr>
      <w:tr w:rsidR="009D7372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124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1.1.4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9D7372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444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D7372">
        <w:trPr>
          <w:trHeight w:hRule="exact" w:val="176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1.2.1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124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1.2.4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5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9D7372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444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D7372">
        <w:trPr>
          <w:trHeight w:hRule="exact" w:val="1189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1.3.3.1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1.3.4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124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18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9D7372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444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D7372">
        <w:trPr>
          <w:trHeight w:hRule="exact" w:val="788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1.4.4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176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1.5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124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1.5.4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86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За 2024 год коммуникационной кампанией охвачено не менее 75% 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9D7372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444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D7372">
        <w:trPr>
          <w:trHeight w:hRule="exact" w:val="124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124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1.6.2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9D7372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1.6.3.2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1.6.3.3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1.6.4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9D7372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444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9D7372">
        <w:trPr>
          <w:trHeight w:hRule="exact" w:val="716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 по региональному проекту, в том числе: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14,40</w:t>
            </w:r>
          </w:p>
        </w:tc>
      </w:tr>
      <w:tr w:rsidR="009D7372">
        <w:trPr>
          <w:trHeight w:hRule="exact" w:val="1146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трансферты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1003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бюджеты государственных внебюджетных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фондов Российской Федерации и их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717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в т.ч.: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14,40</w:t>
            </w:r>
          </w:p>
        </w:tc>
      </w:tr>
      <w:tr w:rsidR="009D7372">
        <w:trPr>
          <w:trHeight w:hRule="exact" w:val="573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14,40</w:t>
            </w:r>
          </w:p>
        </w:tc>
      </w:tr>
      <w:tr w:rsidR="009D7372">
        <w:trPr>
          <w:trHeight w:hRule="exact" w:val="1003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716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бюджеты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573"/>
        </w:trPr>
        <w:tc>
          <w:tcPr>
            <w:tcW w:w="54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</w:tcPr>
          <w:p w:rsidR="009D7372" w:rsidRDefault="009D7372"/>
        </w:tc>
      </w:tr>
      <w:tr w:rsidR="009D7372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9D7372" w:rsidRDefault="007C01AD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3"/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Участники регионального проекта</w:t>
            </w:r>
          </w:p>
          <w:p w:rsidR="009D7372" w:rsidRDefault="009D7372"/>
        </w:tc>
      </w:tr>
      <w:tr w:rsidR="009D7372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9D7372">
        <w:trPr>
          <w:trHeight w:hRule="exact" w:val="85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D7372">
        <w:trPr>
          <w:trHeight w:hRule="exact" w:val="86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9D7372" w:rsidRDefault="009D7372"/>
        </w:tc>
      </w:tr>
      <w:tr w:rsidR="009D73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D73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D73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D73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Голикова Е. Н.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эндокринолог Министерства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D7372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D73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Сидоров М.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уролог Министерства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Ткаченко Е.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стоматолог Министерства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D73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внедрили муниципальные программы общественного здоровья</w:t>
            </w:r>
          </w:p>
          <w:p w:rsidR="009D7372" w:rsidRDefault="009D7372"/>
        </w:tc>
      </w:tr>
      <w:tr w:rsidR="009D73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D7372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D73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D73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Босенко М.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координатор Всероссийского общественного движения «Волонтеры-медики»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  <w:p w:rsidR="009D7372" w:rsidRDefault="009D7372"/>
        </w:tc>
      </w:tr>
      <w:tr w:rsidR="009D73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9D7372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</w:tcPr>
          <w:p w:rsidR="009D7372" w:rsidRDefault="009D7372"/>
        </w:tc>
      </w:tr>
      <w:tr w:rsidR="009D7372">
        <w:trPr>
          <w:trHeight w:hRule="exact" w:val="559"/>
        </w:trPr>
        <w:tc>
          <w:tcPr>
            <w:tcW w:w="15618" w:type="dxa"/>
            <w:gridSpan w:val="36"/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lastRenderedPageBreak/>
              <w:t>6. Дополнительная информация</w:t>
            </w:r>
          </w:p>
        </w:tc>
      </w:tr>
      <w:tr w:rsidR="009D7372">
        <w:trPr>
          <w:trHeight w:hRule="exact" w:val="14"/>
        </w:trPr>
        <w:tc>
          <w:tcPr>
            <w:tcW w:w="15603" w:type="dxa"/>
            <w:gridSpan w:val="35"/>
            <w:tcBorders>
              <w:bottom w:val="single" w:sz="5" w:space="0" w:color="000000"/>
            </w:tcBorders>
          </w:tcPr>
          <w:p w:rsidR="009D7372" w:rsidRDefault="009D7372"/>
        </w:tc>
        <w:tc>
          <w:tcPr>
            <w:tcW w:w="15" w:type="dxa"/>
          </w:tcPr>
          <w:p w:rsidR="009D7372" w:rsidRDefault="009D7372"/>
        </w:tc>
      </w:tr>
      <w:tr w:rsidR="009D7372">
        <w:trPr>
          <w:trHeight w:hRule="exact" w:val="2866"/>
        </w:trPr>
        <w:tc>
          <w:tcPr>
            <w:tcW w:w="15603" w:type="dxa"/>
            <w:gridSpan w:val="3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1. Выделение наиболее значимых и заметных для общества укрупненных целей и задач, предусмотрев их приоритетное финансирование и концентрацию иных ресурсов для их достижения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Наиболее значимыми задачами проекта, по которым определено приоритетное финансиров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ание и концентрация других ресурсов, следует считать мероприятия: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разработке и принятию нормативных правовых актов и методических документов по вопросам ведения гражданами здорового образа жизни, основанные на рекомендациях Всемирной организации здравоохранения, включая создание на базе центров здоровья и центров медиц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инской профилактики центров общественного здоровья;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в 100% муниципальных образований модельных муниципальных программ по укреплению общественного здоровья;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модели организации и функционирования центров общественного здоровья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корпоративных программ, содержащих наилучшие практики по укреплению здоровья работников;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проведению ежегодной коммуникационной кампании, пропагандируешь здоровый образ жизни и бережное отношение к здоровью с охватом не менее 75% аудитории старше 12 лет по основным каналам: телевидение, радио и в информационно-телекоммуникационной сети «Ин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тернет»;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2. Обоснование эффективности, достаточности и необходимости предлагаемых мероприятий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Широкомасштабная информационно-коммуникационная кампания по вопросам здорового питания, направленная на преодоление избыточного потребления сахара, соли и жи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 будет проведена в целях формирования приверженности граждан принципам здорового питания. Предполагается, что кампанией будет охвачено почти все население России за 2021-2024 годы. При этом кампании также будут адресными: с выбором наилучших каналов дове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дения информации до различных возрастных и социальных групп и соответствующей адаптированной подачей информации.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 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3. Первоочередная реализация в проекте мероприятий, позволяющих оптимизировать или минимизировать стоимость последующих мероприятий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чение НКО и волонтерских организаций к внедрению модельных программ по профилактике неинфекционных заболеваний и основам здорового образа жизни позволит компенсировать кадровый дефицит специалистов по общественному здоровью, увеличить охват целевой аудитор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 без дополнительного финансирования и обеспечить вовлечение самых широких групп.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9D7372" w:rsidRDefault="009D737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  <w:tc>
          <w:tcPr>
            <w:tcW w:w="15" w:type="dxa"/>
            <w:tcBorders>
              <w:left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2866"/>
        </w:trPr>
        <w:tc>
          <w:tcPr>
            <w:tcW w:w="15603" w:type="dxa"/>
            <w:gridSpan w:val="3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" w:type="dxa"/>
            <w:tcBorders>
              <w:left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1991"/>
        </w:trPr>
        <w:tc>
          <w:tcPr>
            <w:tcW w:w="15603" w:type="dxa"/>
            <w:gridSpan w:val="3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" w:type="dxa"/>
            <w:tcBorders>
              <w:left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1992"/>
        </w:trPr>
        <w:tc>
          <w:tcPr>
            <w:tcW w:w="15603" w:type="dxa"/>
            <w:gridSpan w:val="3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" w:type="dxa"/>
            <w:tcBorders>
              <w:left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</w:tr>
      <w:tr w:rsidR="009D7372">
        <w:trPr>
          <w:trHeight w:hRule="exact" w:val="430"/>
        </w:trPr>
        <w:tc>
          <w:tcPr>
            <w:tcW w:w="15603" w:type="dxa"/>
            <w:gridSpan w:val="35"/>
            <w:tcBorders>
              <w:bottom w:val="single" w:sz="5" w:space="0" w:color="000000"/>
            </w:tcBorders>
          </w:tcPr>
          <w:p w:rsidR="009D7372" w:rsidRDefault="009D7372"/>
        </w:tc>
        <w:tc>
          <w:tcPr>
            <w:tcW w:w="15" w:type="dxa"/>
          </w:tcPr>
          <w:p w:rsidR="009D7372" w:rsidRDefault="009D7372"/>
        </w:tc>
      </w:tr>
      <w:tr w:rsidR="009D7372">
        <w:trPr>
          <w:trHeight w:hRule="exact" w:val="1647"/>
        </w:trPr>
        <w:tc>
          <w:tcPr>
            <w:tcW w:w="15603" w:type="dxa"/>
            <w:gridSpan w:val="3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 </w:t>
            </w:r>
          </w:p>
          <w:p w:rsidR="009D7372" w:rsidRDefault="007C01AD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4. Сдерживающие факторы при реализации регнионального проекта.</w:t>
            </w: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Недостаточная штатная численность медицинских работников, участвующих в реализации федерального проекта, а также отсутствие в штате структур медицинской профилактики специалистов по коммуникационным проектам, PR, рекламе, таргетированным механизмам размеще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в сети «Интеренет», проектных менеджеров, специалистов по корпоративной среде, специалистов по работе с НКО. Также необходимо отметить высокую стоимость размещения роликов в сети интернет, трансляцию передач на теле-радио - каналах. Выделение средств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рамках предусмотренного бюджета на привлечение указанных специалистов и проведение информационно-коммуникационной кампании необходимо для реализации запланированных в региональном проекте мероприятий в полном объеме.</w:t>
            </w: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 фактором риска недостижения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целевых показателей при реализации регионального проекта является отсутствие запланированного федерального финансирования на создание центров общественного здоровья.</w:t>
            </w: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  <w:tc>
          <w:tcPr>
            <w:tcW w:w="15" w:type="dxa"/>
            <w:tcBorders>
              <w:left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1634"/>
        </w:trPr>
        <w:tc>
          <w:tcPr>
            <w:tcW w:w="15603" w:type="dxa"/>
            <w:gridSpan w:val="3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" w:type="dxa"/>
            <w:tcBorders>
              <w:left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2865"/>
        </w:trPr>
        <w:tc>
          <w:tcPr>
            <w:tcW w:w="15603" w:type="dxa"/>
            <w:gridSpan w:val="3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Региональный проект направлен на достижение цели национального проекта «Демография» по увеличению ожидаемой продолжительности здоровой жизни до 67 лет, увеличение обращаемости в медицинские организации по вопросам здорового образа жизни, в том числе увели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чение числа лиц, которым рекомендованы индивидуальные планы по здоровому образу жизни, а также на достижение национальной цели по росту ожидаемой продолжительности жизни до 78 лет к 2024 году. Кроме того, мероприятия, связанные с формированием здоровья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производстве, которые в долгосрочной перспективе приведут к снижению случаев временной нетрудоспособности, дадут свой вклад в снижение бедности населения и повышения их доходов.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Более того, мероприятия, запланированные в рамках данного регионального проект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должны оказать влияние на такие показатели национального проекта «Демография», как: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увеличение суммарного коэффициента рождаемости (благодаря мероприятиям по укреплению репродуктивного здоровья);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доля граждан, систематически занимающихся физической культ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урой и спортом (благодаря модельным муниципальным и корпоративным программам).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регионального проекта объединены меры, направленные на формирование системы мотивации граждан к ведению здорового образа жизни. Предусматриваемые проектом мероприятия 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осят комплексный характер и включают разработку мер по дальнейшему ограничению потребления алкоголя, защите от табачного дыма, ликвидации микронутриентной недостаточности, сокращение потребления соли и сахара), мониторингу за состоянием питания различных 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рупп населения с применением научных исследований.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Основной задачей регионального проекта является формирование среды, способствующей ведению гражданами здорового образа жизни, включая создание на базе существующих центров здоровья, центров общественного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здоровья. Центры общественного здоровья должны стать центральным элементов в координации программ популяционной профилактики, реализуемых с участием представителей муниципальных властей, крупного и среднего бизнеса, волонтерских движений и НКО, специализир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ующихся в сфере общественного здоровья и здорового образа жизни.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поддержка будет осуществляться в рамках ежегодной информационно-коммуникационной кампании с охватом не менее 75% (не менее 70% в 2021 г.) аудитории граждан старше 12 лет по основным каналам: телевидение, радио и в информационно-телекоммуника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ционной сети «Интернет. При размещении информационных материалов будут задействованы механизмы таргетинга (география, демография, интересы, сообщества, путешествия, устройства). Указанные меры позволят лучше понять психологию пользователя и 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воздействовать на него на индивидуальном уровне.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Реализация муниципальных программ общественного здоровья вместе с внедрением корпоративных программ позволит максимально охватить целевую аудиторию трудоспособной части населения, повысив осведомленность 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аждан о принципах здорового образа жизни.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Увеличение доли лиц, приверженных здоровому образу жизни, приведет к снижению заболеваемости и смертности от основных хронических и неинфекционных заболеваний (ХНИЗ) (сердечно-сосудистых, онкологических) и внешних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причин (например, связанных с потреблением алкоголя) в </w:t>
            </w:r>
          </w:p>
          <w:p w:rsidR="009D7372" w:rsidRDefault="009D7372"/>
        </w:tc>
        <w:tc>
          <w:tcPr>
            <w:tcW w:w="15" w:type="dxa"/>
            <w:tcBorders>
              <w:left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2078"/>
        </w:trPr>
        <w:tc>
          <w:tcPr>
            <w:tcW w:w="15603" w:type="dxa"/>
            <w:gridSpan w:val="3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" w:type="dxa"/>
            <w:tcBorders>
              <w:left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2063"/>
        </w:trPr>
        <w:tc>
          <w:tcPr>
            <w:tcW w:w="15603" w:type="dxa"/>
            <w:gridSpan w:val="3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5" w:type="dxa"/>
            <w:tcBorders>
              <w:left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</w:tr>
      <w:tr w:rsidR="009D7372">
        <w:trPr>
          <w:trHeight w:hRule="exact" w:val="430"/>
        </w:trPr>
        <w:tc>
          <w:tcPr>
            <w:tcW w:w="15603" w:type="dxa"/>
            <w:gridSpan w:val="35"/>
            <w:tcBorders>
              <w:bottom w:val="single" w:sz="5" w:space="0" w:color="000000"/>
            </w:tcBorders>
          </w:tcPr>
          <w:p w:rsidR="009D7372" w:rsidRDefault="009D7372"/>
        </w:tc>
        <w:tc>
          <w:tcPr>
            <w:tcW w:w="15" w:type="dxa"/>
          </w:tcPr>
          <w:p w:rsidR="009D7372" w:rsidRDefault="009D7372"/>
        </w:tc>
      </w:tr>
      <w:tr w:rsidR="009D7372">
        <w:trPr>
          <w:trHeight w:hRule="exact" w:val="1246"/>
        </w:trPr>
        <w:tc>
          <w:tcPr>
            <w:tcW w:w="15603" w:type="dxa"/>
            <w:gridSpan w:val="3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трудоспособном возрасте. Эффективная профилактика ХНИЗ будет реализована в рамках внедрения популяционной профилактической модели на базе создаваемых центров общественного здоровья. </w:t>
            </w:r>
          </w:p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Региональный проект включает мероприятия, запланированные ранее приоритетным проектом «Формирование здорового образа жизни», включая преемственность финансового обеспечения этих мероприятий.</w:t>
            </w:r>
          </w:p>
          <w:p w:rsidR="009D7372" w:rsidRDefault="009D7372"/>
        </w:tc>
        <w:tc>
          <w:tcPr>
            <w:tcW w:w="15" w:type="dxa"/>
            <w:tcBorders>
              <w:left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</w:tcPr>
          <w:p w:rsidR="009D7372" w:rsidRDefault="009D7372"/>
        </w:tc>
      </w:tr>
      <w:tr w:rsidR="009D7372">
        <w:trPr>
          <w:trHeight w:hRule="exact" w:val="573"/>
        </w:trPr>
        <w:tc>
          <w:tcPr>
            <w:tcW w:w="11462" w:type="dxa"/>
            <w:gridSpan w:val="27"/>
          </w:tcPr>
          <w:p w:rsidR="009D7372" w:rsidRDefault="009D7372"/>
        </w:tc>
        <w:tc>
          <w:tcPr>
            <w:tcW w:w="4156" w:type="dxa"/>
            <w:gridSpan w:val="9"/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</w:tr>
      <w:tr w:rsidR="009D7372">
        <w:trPr>
          <w:trHeight w:hRule="exact" w:val="573"/>
        </w:trPr>
        <w:tc>
          <w:tcPr>
            <w:tcW w:w="11462" w:type="dxa"/>
            <w:gridSpan w:val="27"/>
          </w:tcPr>
          <w:p w:rsidR="009D7372" w:rsidRDefault="009D7372"/>
        </w:tc>
        <w:tc>
          <w:tcPr>
            <w:tcW w:w="4156" w:type="dxa"/>
            <w:gridSpan w:val="9"/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</w:tr>
      <w:tr w:rsidR="009D7372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9D7372" w:rsidRDefault="007C01AD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3"/>
            <w:shd w:val="clear" w:color="auto" w:fill="auto"/>
            <w:vAlign w:val="center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9D7372">
        <w:trPr>
          <w:trHeight w:hRule="exact" w:val="717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МЕРОПРИЯТИЙ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по реализации регионального проекта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2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Утверждение штатной численности и оснащения центров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Распорядительный акт органа исполнительной власти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5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Создание на базе Центра медицинской профилактики ГУ «Республиканский врачебно-физкультурный диспансер» регионального центра общественного здоровья, укомплектование и оснащение центра общественного здоровья в соответствии с утвержденными требованиями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Распорядительный акт органа исполнительной власти Республики Коми на основании Письма в органы управления субъектов Российской Федерации в сфере охраны здоровья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82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Обеспечено внедрение модели организации и функционирования первичного центра общественного здоровья на базе 1 центра здоровья в ГБУЗ РК «Воркутинская поликлиника»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Внедрение модели организации и функционирования первичного центра общественного здоровья на базе 1 центра здоровья в ГБУЗ РК «Воркутинская поликлиника»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5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Адаптация и внедрение модели организации и функционирования первичных центров общественного здоровья на базе 1 центра здоровья в ГБУЗ РК «Воркутинская поликлиника»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Наименование результата, мероприятия,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Вид документа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2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Обеспечено внедрение модели организации и функционирования первичного центра общественного здоровья на базе 3 центров здоровья ГБУЗ РК «Ухтинская городская поликлиника», ГБУЗ РК «Ухтинская детская больница», ГБУЗ РК «Сыктывкарская детская поликлиника»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Внедрение модели организации и функционирования первичного центра общественного здоровья на базе 3 центров здоровья ГБУЗ РК «Ухтинская городская поликлиника», ГБУЗ РК «Ухтинская детская больница», ГБУЗ РК «Сыктывкарская детская поликлиника»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Адаптация и внедрение модели организации и функционирования первичных центров общественного здоровья на базе 3 центров здоровья ГБУЗ РК «Ухтинская городская поликлиника», ГБУЗ РК «Ухтинская детская больница», ГБУЗ РК «Сыктывкарская детская поликлиника»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16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учшие проекты на </w:t>
            </w:r>
          </w:p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официальном сайте Министерства 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России.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Министерства здравоохранения Республики Коми.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Утвержден приказ о предоставлении субсидии некоммерческой организации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494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учшие проекты на официальном сайте Министерства 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женности 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24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жизни, утвержденное приказом Минздрава России.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победителями конкурса, размещены на официальном сайте Министерства здравоохранения Республики Коми.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медицинские организации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4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4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 приказ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493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учшие проекты на официальном сайте Министерства 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приверженности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24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жизни, утвержденное приказом Минздрава России.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 конкурс по отбору проектов на предоставление субсидий некоммерческим организациям, реализующим проекты по формированию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приверженности 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 здравоохранения Республики Коми.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4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4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 приказ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493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учшие проекты на официальном сайте Министерства 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женности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-</w:t>
            </w:r>
          </w:p>
        </w:tc>
      </w:tr>
      <w:tr w:rsidR="009D7372">
        <w:trPr>
          <w:trHeight w:hRule="exact" w:val="24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44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жизни, утвержденное приказом Минздрава России.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победителями конкурса, размещены на официальном сайте Министерства здравоохранения Республики Коми.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рекомендации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по наилучшим практикам реализации волонтерства в сфере охраны здоровья.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медицинские организации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4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4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45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 приказ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493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Муниципальные образования внедрили муниципальные программы общественного здоровья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0"/>
                <w:szCs w:val="10"/>
              </w:rPr>
              <w:t xml:space="preserve">​ 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100% муниципальных образований на основании рекомендованной Минздравом России  типовой муниципальной программы по укреплению общественного здоровья органами местного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самоуправления будут утверждены муниципальные программы по укреплению общественного здоровья (нарастающим итогом), предусмотрено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24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43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соответствующее финансирование.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соответствии с данными программами будет продолжена реализация мероприятий по снижению действия основных факторов риска НИЗ, первичной профилактике заболеваний полости рта, а также мероприятий, направленных на профилактику заболеваний репродуктивной сфер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 у мужчин.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43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Не менее 20% муниципальных образований Республики Коми адаптировали и внедрили муниципальные программы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Разработка модельных муниципальных программ по укреплению общественного здоровья (в том числе программы для моногородов)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Проекты программ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Разработка модельных муниципальных программ, направленных на профилактику и раннюю диагностику заболеваний мужской репродуктивной сферы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Проекты программ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Разработка модельных региональных и муниципальных программ по первичной профилактике заболеваний полости рта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Проекты программ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8.1.4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Внедрение центрами общественного здоровья модельных муниципальных программ по укреплению общественного здоровья и снижению действия основных факторов риска НИЗ, включая профилактику заболеваний мужской репродуктивной сферы и заболеваний ротовой полости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Проекты программ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Не менее 40% муниципальных образований Республики Коми адаптировали и внедрили муниципальные программы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9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Центрами общественного здоровья проведен анализ эффективности модельных программ, выработаны рекомендации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8.2.2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Внедрение центрами общественного здоровья актуализированных муниципальных программ по укреплению общественного здоровья и снижению действия основных факторов риска НИЗ, включая профилактику заболеваний мужской репродуктивной сферы и заболеваний ротовой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ости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261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Не менее 60% муниципальных образований Республики Коми адаптировали и внедрили муниципальные программы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Внедрение центрами общественного здоровья актуализированных муниципальных программ по укреплению общественного здоровья и снижению действия основных факторов риска НИЗ, включая профилактику заболеваний мужской репродуктивной сферы и заболеваний ротовой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ости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8.4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Не менее 80% муниципальных образований Республики Коми адаптировали и внедрили муниципальные программы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Внедрение центрами общественного здоровья актуализированных муниципальных программ по укреплению общественного здоровья и снижению действия основных факторов риска НИЗ, включая профилактику заболеваний мужской репродуктивной сферы и заболеваний ротовой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ости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26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8.5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Все (100%) муниципальные образования Республики Коми адаптировали и внедрили муниципальные программы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Внедрение центрами общественного здоровья актуализированных муниципальных программ по укреплению общественного здоровья и снижению действия основных факторов риска НИЗ, включая профилактику заболеваний мужской репродуктивной сферы и заболеваний ротовой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ости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учшие проекты на официальном сайте Министерства 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женности 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147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46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Наилучшие проекты,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 здравоохранения Республики Коми.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09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 приказ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53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493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учшие проекты на официальном сайте Министерства 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дий некоммерческим организациям, реализующим проекты по формированию приверженности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24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жизни, утвержденное приказом Минздрава России.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 здравоохранения Республики Коми.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 и медицинские организации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4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47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 приказ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10.3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493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24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к репродуктивному здоровью, в том числе профилактика абортов,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повышение приверженности вакцинации.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информационно-коммуникационной кампании.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548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153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проведении информационно-коммуникационной кампании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5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>Основными направлениями информационно-коммуникационно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</w:t>
            </w: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>здоровью, в том числе профилактика абортов, и повышение приверженности вакцинации.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</w:t>
            </w: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>онно-коммуникационной кампании.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</w:t>
            </w: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>ционно-коммуникационной кампании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19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1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жуточный отчет о проведении информационно- коммуникационной кампании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12.1.2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проведении информационно-коммуникационной кампании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61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161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аудиторий.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аудиторий. Представлен отчет о проведении информационно-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33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основных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33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29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проведении информационно-коммуникационной кампании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ропаганда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223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23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й. Представлен отчет о проведении информационно-коммуникационной кампании.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чет о подведенных итогах реализации информационно-коммуникационной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кампании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Республики Коми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отечёт о проведении информационно- коммуникационной кампании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80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проведении информационно-коммуникационной кампании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280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Адаптированы и распространены рекламно-информационные материалы для проведения информационно-коммуникационной кампании с использованием основных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телекоммуникационных каналов для всех целевых аудиторий.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аудиторий. Представлен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594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проведении информационно-коммуникационной кампании.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5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жуточный отчет о проведении информационно-коммуникационной кампании 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29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15.1.2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Отчёт о проведении информационно-коммуникационных кампаний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61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161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аудиторий.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аудиторий. Представлен отчет о проведении информационно-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33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кампании.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Подведены промежуточные итоги информационно-коммуникационной кампании с использованием основных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33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72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29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"Интернет"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проведении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льзованием основных телекоммуникационных каналов для всех целевых аудиторий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8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16.1.2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проведении информационно-коммуникационных кампаний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производства телевизионных и радиопрограмм, телевизионных документальных фильмов, направленных на пропаганд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 здорового образа жизни, физической культуры, спорта и здорового питания, создания в информационно-телекоммуникационной сети «Интернет» тематических Интернет-ресурсов.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182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81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350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17.1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Размещены в эфире теле- и радиоканалов телевизионные и радиопрограммы, телевизионные документальные фильмы, направленные на пропаганду здорового образа жизни, физической культуры, спорта и здорового питания, созданы в информационно-телекоммуникационной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сети «Интернет» тематические Интернет- ресурсы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Входящее письмо Письмо Управления информационного обеспечения Администрации Главы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144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17.1.1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Управлением информационного обеспечения Администрации Главы Республики Коми оказана государственная поддержка производства телевизионных и радиопрограмм, телевизионных документальных фильмов, направленных на пропаганду здорового образа жизни, физической ку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льтуры, спорта и здорового питания, создания в информационно-телекоммуникационной сети «Интернет» тематических Интернет- ресурсов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Входящее письмо Письмо Управления информационного обеспечения Администрации 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лавы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1447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20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периодическим печатным изданиям на реализацию проектов, направленных на пропаганду здорового образа жизни,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физической культуры, спорта и здорового питания.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219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18.1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периодических печатных издания реализованы проекты, направленные на пропаганду здорового образа жизни, физической культуры, спорта и здорового питания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Входящее письмо Письмо Управления информационного обеспечения Администрации Главы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207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Управлением информационного обеспечения Администрации Главы Республики Коми оказана государственная поддержка периодическим печатным изданиям на реализацию проектов, направленных на пропаганду здорового образа жизни, физической культуры, спорта и здорового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питания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Входящее письмо Письмо Управления информационного обеспечения Администрации Главы Республики Коми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90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Внедрены корпоративные программы, содержащие наилучшие практики по укреплению </w:t>
            </w:r>
          </w:p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Кондратьева И. А., Начальник 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9D7372" w:rsidRDefault="009D7372">
            <w:pPr>
              <w:spacing w:line="184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здоровья работников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4"/>
                <w:szCs w:val="24"/>
              </w:rPr>
              <w:t>0</w:t>
            </w:r>
          </w:p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Управления организации медицинской помощи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для работодателей внедрять корпоративные программы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укреплению здоровья работников. 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информационно-разъяснительная работа с работодат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елями в целях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86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внедрения корпоративных программ по укреплению здоровья работников.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Работодателями будут проведены мероприятия, указанные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ю здорового образа жизни, отказа от курения и употребления алкогольных напитков, перехода на здоровое питание. 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ительной власти </w:t>
            </w: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286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05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9D7372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9D7372"/>
        </w:tc>
      </w:tr>
      <w:tr w:rsidR="009D7372">
        <w:trPr>
          <w:trHeight w:hRule="exact" w:val="2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9D7372">
        <w:trPr>
          <w:trHeight w:hRule="exact" w:val="1862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пилотных регионов и в средствах массовой информации в рамках информационно-коммуникационной кампании.</w:t>
            </w: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184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9D7372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9D7372">
        <w:trPr>
          <w:trHeight w:hRule="exact" w:val="184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5158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86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19.1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КТ: Адаптированы и внедрены корпоративные программы, содержащие наилучшие практики по укреплению здоровья работников на территории Республики Коми.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9D7372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19.1.1</w:t>
            </w:r>
          </w:p>
        </w:tc>
        <w:tc>
          <w:tcPr>
            <w:tcW w:w="515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Адаптированы и внедрены корпоративные программы, содержащие наилучшие практики по укреплению здоровья работников на территории Республики Коми.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9D7372" w:rsidRDefault="009D7372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</w:tr>
      <w:tr w:rsidR="009D7372">
        <w:trPr>
          <w:trHeight w:hRule="exact" w:val="573"/>
        </w:trPr>
        <w:tc>
          <w:tcPr>
            <w:tcW w:w="11462" w:type="dxa"/>
            <w:gridSpan w:val="27"/>
          </w:tcPr>
          <w:p w:rsidR="009D7372" w:rsidRDefault="009D7372"/>
        </w:tc>
        <w:tc>
          <w:tcPr>
            <w:tcW w:w="4156" w:type="dxa"/>
            <w:gridSpan w:val="9"/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№2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</w:tr>
      <w:tr w:rsidR="009D7372">
        <w:trPr>
          <w:trHeight w:hRule="exact" w:val="573"/>
        </w:trPr>
        <w:tc>
          <w:tcPr>
            <w:tcW w:w="11462" w:type="dxa"/>
            <w:gridSpan w:val="27"/>
          </w:tcPr>
          <w:p w:rsidR="009D7372" w:rsidRDefault="009D7372"/>
        </w:tc>
        <w:tc>
          <w:tcPr>
            <w:tcW w:w="4156" w:type="dxa"/>
            <w:gridSpan w:val="9"/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</w:tr>
      <w:tr w:rsidR="009D7372">
        <w:trPr>
          <w:trHeight w:hRule="exact" w:val="860"/>
        </w:trPr>
        <w:tc>
          <w:tcPr>
            <w:tcW w:w="15618" w:type="dxa"/>
            <w:gridSpan w:val="3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МЕТОДИКА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расчета дополнительных показателей регионального проекта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D73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 л 100% спирта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литрах)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Формы федерального статистического обследования №№ П-1, П-5(м), 3-ТОРГ(ПМ), ПМ, МП-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микро, 1-ТОРГ, 1-конъюнктура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МИНИСТЕРСТВО ПРОМЫШЛЕННОСТИ И ТОРГОВЛИ РОССИЙСКОЙ ФЕДЕРАЦИИ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 в год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D7372" w:rsidRDefault="007C01A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372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Vалк – оборот розничной торговли алкогольными напитками в отчетном году;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Vа– оборот розничной торговли алкогольными напитками торгующих организаций в отчетном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году;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Vп – оборот розничной торговли пивом и пивными напитками индивидуальных предпринимателей в отчетном году.</w:t>
            </w:r>
          </w:p>
        </w:tc>
      </w:tr>
      <w:tr w:rsidR="009D7372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80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D73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Смертность женщин в возрасте  16-54 лет  кг/м2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женщин в возрасте 16-54 лет (на 100 тысяч населения) 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mх - Смертность женщин в возрасте 16-54 лет (на 100 тысяс населения) , кг/м2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№1-У "Сведения об умерших".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 15 декабря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Ежегодно 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D7372" w:rsidRDefault="007C01A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372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 – возраст;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mх – коэффициент смертности населения в трудоспособном возрасте (мужчины в возрасте 16-59 лет, женщины – 16-54 года);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Мх – число умерших в трудоспособном возрасте;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Sx – среднегодовая численность населения в трудоспособном возрасте.</w:t>
            </w:r>
          </w:p>
        </w:tc>
      </w:tr>
      <w:tr w:rsidR="009D7372">
        <w:trPr>
          <w:trHeight w:hRule="exact" w:val="16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D73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Смертность мужчин в возрасте  16-59 лет  кг/м2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мужчин в возрасте 16-59 лет (на 100 тысяч населения) 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mх - Смертность мужчин в возрасте 16-59 лет (на 100 тысяч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населения) , кг/м2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Данные Росстата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НЕНИЯ КИРОВСКОЙ ОБЛАСТИ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 xml:space="preserve">Муниципальные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Один раз в 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од, показатель на дату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Ежегодно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D7372" w:rsidRDefault="007C01AD">
            <w:pPr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920317" cy="548844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372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 – возраст;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mх – коэффициент смертности населения в трудоспособном возрасте (мужчины в возрасте 16-59 лет, женщины – 16-54 года);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Мх – число умерших в трудоспособном возрасте;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Sx – среднегодовая численность населения в трудоспособном возрасте.</w:t>
            </w:r>
          </w:p>
        </w:tc>
      </w:tr>
      <w:tr w:rsidR="009D7372">
        <w:trPr>
          <w:trHeight w:hRule="exact" w:val="16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сигарет и папирос на душу населения тыс. шт;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сигарет и папирос на душу населения (тысяч штук)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- Розничные продажи сигарет и папирос на душу населения (тысяч штук), тыс. шт;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Формы федерального статистического обследования №№ П-1, П-5(м), 3-ТОРГ(ПМ), ПМ, МП-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ПРОМЫШЛЕННОСТИ И ТОРГОВЛИ РОССИЙСКОЙ ФЕДЕРАЦИИ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 в год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D7372" w:rsidRDefault="007C01A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844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372">
        <w:trPr>
          <w:trHeight w:hRule="exact" w:val="265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объем розничной продажи табачных изделий за отчетный год;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Vтп-1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 xml:space="preserve">– объем розничной продажи табачных изделий организациями всех видов деятельности, не 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D73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D7372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микро, 1-ТОРГ, 1-конъюнктура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относящихся к субъектам малого предпринимательства, по данным ф.ф. №№ П-1 и П-5(м) нарастающим итогом за отчетный год;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Vт52/п-1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объем розничной продажи табачных изделий организациями с основным видом деятельности «розничная торговля», не относящихся к субъектам малого предпринимательства, по данным ф.ф. №№ П-1 и П-5(м) нарастающим итогом за отчетный год;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Vт52/1-т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объем розничной продажи табачных изделий организациями с основным видом деятельности «розничная торговля», не относящихся к субъектам малого предпринимательства, по данным ф. № 1-ТОРГ за отчетный год;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Кср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 xml:space="preserve">– среднегодовой процент сокрытия по </w:t>
            </w:r>
          </w:p>
        </w:tc>
      </w:tr>
      <w:tr w:rsidR="009D7372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85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D73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D7372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организациям, не относящимся к субъектам малого предпринимательства, осуществляющим розничную торговлю табачными изделиями, по данным  ф. № 1-конъюнктура;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Vт50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 xml:space="preserve">– объем розничной продажи табачных изделий малыми предприятиями, представившими ф. № 3-ТОРГ(ПМ)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нарастающим итогом за отчетный год;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Vпм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 xml:space="preserve">– сумма строк 07 «отгружено товаров собственного производства в порядке розничной торговли» и 09 «продано товаров несобственного производства в порядке розничной торговли» по всем малым предприятиям (распространенные данные) кроме предприятий с кодами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ОКВЭД, входящими в 52 класс, подкласс 50.5 и группы 50.10.2, 50.30.2, </w:t>
            </w:r>
          </w:p>
        </w:tc>
      </w:tr>
      <w:tr w:rsidR="009D7372">
        <w:trPr>
          <w:trHeight w:hRule="exact" w:val="285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</w:tr>
      <w:tr w:rsidR="009D7372">
        <w:trPr>
          <w:trHeight w:hRule="exact" w:val="85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D73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D7372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50.40.2, по данным               ф. № ПМ нарастающим итогом за отчетный год;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Wт3-тПМ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удельный вес табачных изделий в общем обороте розничной торговли малых предприятий, паредставивших ф. № 3-ТОРГ(ПМ) нарастающим итогом за отчетный год;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Ксм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среднегодовой процент сокрытия по малым предприятий (за исключением микропредприятий), осуществляющим розничную торговлю табачными изделиями;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Vмикро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оборот розничной торговли пищевыми продуктами, включая напитки, и табачными изделиями по всем торгу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ющим микропредприятиям за отчетный год;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Wт23-тПМ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 xml:space="preserve">– удельный вес табачных изделий в обороте розничной торговли пищевых </w:t>
            </w:r>
          </w:p>
        </w:tc>
      </w:tr>
      <w:tr w:rsidR="009D7372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D73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D7372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продуктов, включая напитки, и табачных изделий малых предприятий, паредставивших  ф. № 3-ТОРГ(ПМ) нарастающим итогом за отчетный год;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среднегодовой процент сокрытия по микропредприятиям, осуществляющим розничную торговлю табачными изделиями. Так как ф. № 1-конъюнктура собирается с квартальной периодичностью, то на микропредприятия она не распространяется, следовательно,  Кмикро =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Vинд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оборот розничной торговли пищевыми продуктами, включая напитки, и табачными изделиями индивидуальных предпринимателей в отчетном год;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Vтрынк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 xml:space="preserve">– объем розничной продажи табачных изделий на </w:t>
            </w:r>
          </w:p>
        </w:tc>
      </w:tr>
      <w:tr w:rsidR="009D7372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28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D7372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D7372">
        <w:trPr>
          <w:trHeight w:hRule="exact" w:val="9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рынках по данным                ф. № Б-1 нарастающим итогом за отчетный год.</w:t>
            </w:r>
          </w:p>
        </w:tc>
      </w:tr>
      <w:tr w:rsidR="009D7372">
        <w:trPr>
          <w:trHeight w:hRule="exact" w:val="430"/>
        </w:trPr>
        <w:tc>
          <w:tcPr>
            <w:tcW w:w="15618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D7372" w:rsidRDefault="007C01A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Обращаемость в медицинские организации по вопросам здорового образа жизни ТЫС ЧЕЛ</w:t>
            </w:r>
          </w:p>
        </w:tc>
      </w:tr>
      <w:tr w:rsidR="009D7372">
        <w:trPr>
          <w:trHeight w:hRule="exact" w:val="85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</w:t>
            </w:r>
          </w:p>
        </w:tc>
        <w:tc>
          <w:tcPr>
            <w:tcW w:w="329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Обращаемость в медицинские организации по вопросам здорового образа жизни (тысяч человек)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No - число обращений  по поводу факторов, влияющих на состояние здоровья населения и обращения в медицинские организации (с профилактической и иными целями), в том числе по поводу проблем, связанных с образом жизни , ТЫС ЧЕЛ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№ 12, утвержденная приказ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ом Росстата от 31.07.2018 N 468 «Об утверждении статистического инструментария для организации федерального статистического наблюдения за ценами и 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дно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D7372" w:rsidRDefault="007C01A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20317" cy="548206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317" cy="548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372"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Формой предусмотрен сбор информации о числе обращений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 поводу факторов, влияющих на состояние здоровья населения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 обращения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медицинские организации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(с профилактической и иными целями),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том числе по поводу проблем, связанных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 образом жизни (таблицах 1100, 2100, 3100 и 4100), </w:t>
            </w:r>
          </w:p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соответствии с Международной статистической классификацией болезней и проблем, связанных со здоровьем, Х пересмотра, утвержденной приказом Минздрава России от 27 </w:t>
            </w:r>
          </w:p>
        </w:tc>
      </w:tr>
      <w:tr w:rsidR="009D7372">
        <w:trPr>
          <w:trHeight w:hRule="exact" w:val="171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17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29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172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D7372" w:rsidRDefault="009D7372"/>
        </w:tc>
      </w:tr>
      <w:tr w:rsidR="009D7372">
        <w:trPr>
          <w:trHeight w:hRule="exact" w:val="429"/>
        </w:trPr>
        <w:tc>
          <w:tcPr>
            <w:tcW w:w="15618" w:type="dxa"/>
            <w:gridSpan w:val="3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</w:tr>
      <w:tr w:rsidR="009D7372">
        <w:trPr>
          <w:trHeight w:hRule="exact" w:val="86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9D7372">
        <w:trPr>
          <w:trHeight w:hRule="exact" w:val="2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9D7372">
        <w:trPr>
          <w:trHeight w:hRule="exact" w:val="255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финансами».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9D737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9D7372" w:rsidRDefault="007C01A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мая 1997 г. № 170, «Проблемы, связанные с образом жизни», входят в класс ХХI «Факторы, влияющие на состояние здоровья населения и обращения в учреждения здравоохранения» и имеют самостоятельный код Z72.</w:t>
            </w:r>
          </w:p>
        </w:tc>
      </w:tr>
    </w:tbl>
    <w:p w:rsidR="007C01AD" w:rsidRDefault="007C01AD"/>
    <w:sectPr w:rsidR="007C01AD">
      <w:pgSz w:w="16834" w:h="13349" w:orient="landscape"/>
      <w:pgMar w:top="1134" w:right="576" w:bottom="526" w:left="576" w:header="1134" w:footer="52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9D7372"/>
    <w:rsid w:val="007C01AD"/>
    <w:rsid w:val="009718F7"/>
    <w:rsid w:val="009D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75</Pages>
  <Words>16125</Words>
  <Characters>91919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RP_Ukreplenie_obshhestvennogo_zdorov'ya_(Respublika_Komi)</vt:lpstr>
    </vt:vector>
  </TitlesOfParts>
  <Company>Stimulsoft Reports 2018.2.2 from 26 April 2018</Company>
  <LinksUpToDate>false</LinksUpToDate>
  <CharactersWithSpaces>107829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RP_Ukreplenie_obshhestvennogo_zdorov'ya_(Respublika_Komi)</dc:title>
  <dc:subject>RP_Ukreplenie_obshhestvennogo_zdorov'ya_(Respublika_Komi)</dc:subject>
  <dc:creator>Попова Анна Николаевна</dc:creator>
  <cp:lastModifiedBy>Попова Анна Николаевна</cp:lastModifiedBy>
  <cp:revision>2</cp:revision>
  <dcterms:created xsi:type="dcterms:W3CDTF">2019-07-22T08:02:00Z</dcterms:created>
  <dcterms:modified xsi:type="dcterms:W3CDTF">2019-07-22T08:02:00Z</dcterms:modified>
</cp:coreProperties>
</file>