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"/>
        <w:gridCol w:w="286"/>
        <w:gridCol w:w="143"/>
        <w:gridCol w:w="144"/>
        <w:gridCol w:w="143"/>
        <w:gridCol w:w="143"/>
        <w:gridCol w:w="2723"/>
        <w:gridCol w:w="286"/>
        <w:gridCol w:w="430"/>
        <w:gridCol w:w="860"/>
        <w:gridCol w:w="429"/>
        <w:gridCol w:w="430"/>
        <w:gridCol w:w="144"/>
        <w:gridCol w:w="429"/>
        <w:gridCol w:w="287"/>
        <w:gridCol w:w="287"/>
        <w:gridCol w:w="143"/>
        <w:gridCol w:w="143"/>
        <w:gridCol w:w="573"/>
        <w:gridCol w:w="144"/>
        <w:gridCol w:w="286"/>
        <w:gridCol w:w="573"/>
        <w:gridCol w:w="430"/>
        <w:gridCol w:w="143"/>
        <w:gridCol w:w="573"/>
        <w:gridCol w:w="430"/>
        <w:gridCol w:w="144"/>
        <w:gridCol w:w="143"/>
        <w:gridCol w:w="286"/>
        <w:gridCol w:w="287"/>
        <w:gridCol w:w="430"/>
        <w:gridCol w:w="143"/>
        <w:gridCol w:w="287"/>
        <w:gridCol w:w="716"/>
        <w:gridCol w:w="430"/>
        <w:gridCol w:w="286"/>
        <w:gridCol w:w="430"/>
        <w:gridCol w:w="1132"/>
        <w:gridCol w:w="26"/>
      </w:tblGrid>
      <w:tr w:rsidR="00E40F78">
        <w:trPr>
          <w:trHeight w:hRule="exact" w:val="1003"/>
        </w:trPr>
        <w:tc>
          <w:tcPr>
            <w:tcW w:w="15618" w:type="dxa"/>
            <w:gridSpan w:val="39"/>
          </w:tcPr>
          <w:p w:rsidR="00E40F78" w:rsidRDefault="00E40F78">
            <w:bookmarkStart w:id="0" w:name="_GoBack"/>
            <w:bookmarkEnd w:id="0"/>
          </w:p>
        </w:tc>
      </w:tr>
      <w:tr w:rsidR="00E40F78">
        <w:trPr>
          <w:trHeight w:hRule="exact" w:val="387"/>
        </w:trPr>
        <w:tc>
          <w:tcPr>
            <w:tcW w:w="15618" w:type="dxa"/>
            <w:gridSpan w:val="39"/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E40F78">
        <w:trPr>
          <w:trHeight w:hRule="exact" w:val="43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387"/>
        </w:trPr>
        <w:tc>
          <w:tcPr>
            <w:tcW w:w="15618" w:type="dxa"/>
            <w:gridSpan w:val="39"/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E40F78">
        <w:trPr>
          <w:trHeight w:hRule="exact" w:val="43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573"/>
        </w:trPr>
        <w:tc>
          <w:tcPr>
            <w:tcW w:w="15618" w:type="dxa"/>
            <w:gridSpan w:val="39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E40F78">
        <w:trPr>
          <w:trHeight w:hRule="exact" w:val="716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E40F78">
        <w:trPr>
          <w:trHeight w:hRule="exact" w:val="573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федерального проекта</w:t>
            </w:r>
          </w:p>
        </w:tc>
        <w:tc>
          <w:tcPr>
            <w:tcW w:w="11033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E40F78">
        <w:trPr>
          <w:trHeight w:hRule="exact" w:val="573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72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300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начала и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окончания проекта</w:t>
            </w:r>
          </w:p>
        </w:tc>
        <w:tc>
          <w:tcPr>
            <w:tcW w:w="329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01.01.2019 - 31.12.2024</w:t>
            </w:r>
          </w:p>
        </w:tc>
      </w:tr>
      <w:tr w:rsidR="00E40F78">
        <w:trPr>
          <w:trHeight w:hRule="exact" w:val="574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11033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Михальченкова Наталья Алексеевна, Заместитель Председателя Правительства Республики Коми</w:t>
            </w:r>
          </w:p>
        </w:tc>
      </w:tr>
      <w:tr w:rsidR="00E40F78">
        <w:trPr>
          <w:trHeight w:hRule="exact" w:val="573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11033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Дмитрий Борисович, министр здравоохранения Республики Коми</w:t>
            </w:r>
          </w:p>
        </w:tc>
      </w:tr>
      <w:tr w:rsidR="00E40F78">
        <w:trPr>
          <w:trHeight w:hRule="exact" w:val="573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11033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Дмитрий Борисович, министр здравоохранения Республики Коми</w:t>
            </w:r>
          </w:p>
        </w:tc>
      </w:tr>
      <w:tr w:rsidR="00E40F78">
        <w:trPr>
          <w:trHeight w:hRule="exact" w:val="573"/>
        </w:trPr>
        <w:tc>
          <w:tcPr>
            <w:tcW w:w="458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субъекта Российской Федерации</w:t>
            </w:r>
          </w:p>
        </w:tc>
        <w:tc>
          <w:tcPr>
            <w:tcW w:w="11033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E40F78">
        <w:trPr>
          <w:trHeight w:hRule="exact" w:val="249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493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143"/>
        </w:trPr>
        <w:tc>
          <w:tcPr>
            <w:tcW w:w="287" w:type="dxa"/>
            <w:shd w:val="clear" w:color="auto" w:fill="auto"/>
            <w:vAlign w:val="center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859" w:type="dxa"/>
            <w:gridSpan w:val="5"/>
            <w:shd w:val="clear" w:color="auto" w:fill="auto"/>
          </w:tcPr>
          <w:p w:rsidR="00E40F78" w:rsidRDefault="00094AD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472" w:type="dxa"/>
            <w:gridSpan w:val="33"/>
            <w:shd w:val="clear" w:color="auto" w:fill="auto"/>
            <w:vAlign w:val="center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E40F78">
        <w:trPr>
          <w:trHeight w:hRule="exact" w:val="287"/>
        </w:trPr>
        <w:tc>
          <w:tcPr>
            <w:tcW w:w="10889" w:type="dxa"/>
            <w:gridSpan w:val="26"/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Цель и показатели регионального проекта</w:t>
            </w:r>
          </w:p>
        </w:tc>
        <w:tc>
          <w:tcPr>
            <w:tcW w:w="860" w:type="dxa"/>
            <w:gridSpan w:val="4"/>
            <w:shd w:val="clear" w:color="auto" w:fill="auto"/>
          </w:tcPr>
          <w:p w:rsidR="00E40F78" w:rsidRDefault="00094AD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1</w:t>
            </w:r>
          </w:p>
        </w:tc>
        <w:tc>
          <w:tcPr>
            <w:tcW w:w="3869" w:type="dxa"/>
            <w:gridSpan w:val="9"/>
            <w:shd w:val="clear" w:color="auto" w:fill="auto"/>
            <w:vAlign w:val="center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E40F78">
        <w:trPr>
          <w:trHeight w:hRule="exact" w:val="143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E40F78">
        <w:trPr>
          <w:trHeight w:hRule="exact" w:val="1762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мотивации граждан к здоровому образу жизни, включая здоровое питание и отказ от вредных привычек. Обеспечение к 2024 году увеличения доли граждан, ведущих здоровый образ жизни, за счет формирования среды, способствующей ведению граждан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ами здорового образа жизни, включая здоровое питание (в том числе ликвидацию микронутриентной недостаточности, сокращение потребления соли и сахара), защиту от табачного дыма, снижение потребления алкоголя; а также за счет мотивирования граждан к ведению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дорового образа жизни посредством информационно-коммуникационной кампании, вовлечения граждан и некоммерческих организаций в мероприятия по укреплению общественного здоровья и разработки и внедрения корпоративных программ укрепления здоровья (Республика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ми)</w:t>
            </w:r>
          </w:p>
        </w:tc>
      </w:tr>
      <w:tr w:rsidR="00E40F78">
        <w:trPr>
          <w:trHeight w:hRule="exact" w:val="430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012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показателя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показателя</w:t>
            </w:r>
          </w:p>
        </w:tc>
        <w:tc>
          <w:tcPr>
            <w:tcW w:w="229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878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</w:tr>
      <w:tr w:rsidR="00E40F78">
        <w:trPr>
          <w:trHeight w:hRule="exact" w:val="430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4012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</w:tr>
      <w:tr w:rsidR="00E40F78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</w:tr>
      <w:tr w:rsidR="00E40F78">
        <w:trPr>
          <w:trHeight w:hRule="exact" w:val="445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Отсутствует показатель федерального проекта</w:t>
            </w:r>
          </w:p>
        </w:tc>
      </w:tr>
      <w:tr w:rsidR="00E40F78">
        <w:trPr>
          <w:trHeight w:hRule="exact" w:val="71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сигарет и папирос на душу населения, тыс. шт;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Дополнительный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2,0500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1,9500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1,9000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1,8500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1,8000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1,7500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1,7000</w:t>
            </w:r>
          </w:p>
        </w:tc>
      </w:tr>
      <w:tr w:rsidR="00E40F78">
        <w:trPr>
          <w:trHeight w:hRule="exact" w:val="974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Обращаемость в медицинские организации по вопросам здорового образа жизни, ТЫС ЧЕЛ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Дополнительный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2,5000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3,1000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3,4000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3,7000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4,0000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4,2000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4,5000</w:t>
            </w:r>
          </w:p>
        </w:tc>
      </w:tr>
      <w:tr w:rsidR="00E40F78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</w:tr>
      <w:tr w:rsidR="00E40F78">
        <w:trPr>
          <w:trHeight w:hRule="exact" w:val="975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этанола), л 100% спирта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10,1000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31.12.2016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9,8000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9,6000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9,5000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9,3000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9,2000</w:t>
            </w:r>
          </w:p>
        </w:tc>
      </w:tr>
      <w:tr w:rsidR="00E40F78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женщин в возрасте  16-54 лет </w:t>
            </w:r>
          </w:p>
        </w:tc>
      </w:tr>
      <w:tr w:rsidR="00E40F78">
        <w:trPr>
          <w:trHeight w:hRule="exact" w:val="71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Смертность женщин в возрасте  16-54 лет , на 100 тысяч человек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259,3000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253,9000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250,1000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246,4000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242,7000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237,8000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232,8000</w:t>
            </w:r>
          </w:p>
        </w:tc>
      </w:tr>
      <w:tr w:rsidR="00E40F78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мужчин в возрасте  16-59 лет </w:t>
            </w:r>
          </w:p>
        </w:tc>
      </w:tr>
      <w:tr w:rsidR="00E40F78">
        <w:trPr>
          <w:trHeight w:hRule="exact" w:val="71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0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Смертность мужчин в возрасте  16-59 лет , на 100 тысяч человек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899,7000</w:t>
            </w:r>
          </w:p>
        </w:tc>
        <w:tc>
          <w:tcPr>
            <w:tcW w:w="128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834,0000</w:t>
            </w:r>
          </w:p>
        </w:tc>
        <w:tc>
          <w:tcPr>
            <w:tcW w:w="11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792,5000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750,9000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715,4000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684,8000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649,0000</w:t>
            </w:r>
          </w:p>
        </w:tc>
      </w:tr>
      <w:tr w:rsidR="00E40F78">
        <w:trPr>
          <w:trHeight w:hRule="exact" w:val="137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573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Результаты регионального проекта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57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Задача национального проекта (справочно из паспорта федерального проекта): Формирование системы мотивации граждан к здоровому образу жизни, включая здоровое питание и отказ от вредных привычек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</w:tr>
      <w:tr w:rsidR="00E40F78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902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 паспорта федерального проекта): 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драва России будет осуществлено внедрение новой модели организации и функционирования центров общественного здоровья, включая создание на базе центров здоровья и центров медицинской профилактики первичных (межмуниципальные) и региональных центров обществен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ного здоровья, внедрение новой учетно-отчетной документации.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01.01.2021</w:t>
            </w:r>
          </w:p>
          <w:p w:rsidR="00E40F78" w:rsidRDefault="00E40F78"/>
        </w:tc>
      </w:tr>
      <w:tr w:rsidR="00E40F78">
        <w:trPr>
          <w:trHeight w:hRule="exact" w:val="1103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(85)субъектах Российской Федерации органамиисполнительной власти субъектов Российской Федерации и органами местногосамоуправления с организационно-методическим сопровождением НМИЦпрофилактической медицины Минздрава России будет осуществл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ено внедрение новоймодели организации и функционирования центров общественного здоровья, включаясоздание центров общественного здоровья, внедрение новой учетно-отчетнойдокументации.</w:t>
            </w:r>
          </w:p>
          <w:p w:rsidR="00E40F78" w:rsidRDefault="00E40F78"/>
        </w:tc>
      </w:tr>
      <w:tr w:rsidR="00E40F78">
        <w:trPr>
          <w:trHeight w:hRule="exact" w:val="144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01.01.2021 - 1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00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00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169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902" w:type="dxa"/>
            <w:gridSpan w:val="3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Муниципальные образования внедрили муниципальные программы общественного здоровья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  <w:r>
              <w:rPr>
                <w:rFonts w:ascii="&amp;quot" w:eastAsia="&amp;quot" w:hAnsi="&amp;quot" w:cs="&amp;quot"/>
                <w:spacing w:val="-2"/>
                <w:sz w:val="19"/>
                <w:szCs w:val="19"/>
              </w:rPr>
              <w:t>​</w:t>
            </w:r>
            <w:r>
              <w:rPr>
                <w:rFonts w:ascii="&amp;quot" w:eastAsia="&amp;quot" w:hAnsi="&amp;quot" w:cs="&amp;quot"/>
                <w:spacing w:val="-2"/>
                <w:sz w:val="19"/>
                <w:szCs w:val="19"/>
              </w:rPr>
              <w:t xml:space="preserve"> </w:t>
            </w:r>
          </w:p>
          <w:p w:rsidR="00E40F78" w:rsidRDefault="00E40F7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В 100% муниципальных образований на основании рекомендованной 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овья (нарастающим итогом), предусмотрено соответствующее финансирование.</w:t>
            </w:r>
          </w:p>
          <w:p w:rsidR="00E40F78" w:rsidRDefault="00E40F7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В соответствии с данными программами будет продолжена реализация мероприятий по снижению действия основных факторов риска НИЗ, первичной профилактике заболеваний полости рта, а также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 xml:space="preserve"> мероприятий, направленных на профилактику заболеваний репродуктивной сферы у мужчин.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(справочно из паспорта федерального проекта): 15.12.2024</w:t>
            </w:r>
          </w:p>
          <w:p w:rsidR="00E40F78" w:rsidRDefault="00E40F78"/>
        </w:tc>
      </w:tr>
      <w:tr w:rsidR="00E40F78">
        <w:trPr>
          <w:trHeight w:hRule="exact" w:val="1691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4902" w:type="dxa"/>
            <w:gridSpan w:val="3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86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внедрили муниципальные программы общественного здоровья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​В 100%муниципальных образований на основаниирекомендованной Минздравом России типовой муниципальнойпрограммы по укреплению общественного здоровья органами местного самоуправлениябудут утверждены муниципальные программы по укреплению общественного здоровья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(нарастающим итогом), предусмотрено соответствующее финансирование.Всоответствии с данными программами будет продолжена реализация мероприятий поснижению действия основных факторов риска НИЗ, первичной профилактикезаболеваний полости рта, а также мероприят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ий, направленных на профилактикузаболеваний репродуктивной сферы у мужчин.</w:t>
            </w:r>
          </w:p>
          <w:p w:rsidR="00E40F78" w:rsidRDefault="00E40F78"/>
        </w:tc>
      </w:tr>
      <w:tr w:rsidR="00E40F78">
        <w:trPr>
          <w:trHeight w:hRule="exact" w:val="2751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15.12.2020 - 20 ПРОЦ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15.12.2021 - 40 ПРОЦ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15.12.2022 - 60 ПРОЦ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15.12.2023 - 80 ПРОЦ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15.12.2024 - 100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50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504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902" w:type="dxa"/>
            <w:gridSpan w:val="3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Внедрены корпоративные программы, содержащие наилучшие практики по укреплению здоровья работников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результата федерального проекта (справочно из паспорта федерального проекта): 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 xml:space="preserve">кой Федерации, предусматривающие необходимость для работодателей внедрять корпоративные программы по укреплению здоровья работников. 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В субъектах Российской Федерации с организационно-методическим сопровождением НМИЦ профилактической медицины Минздрава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 xml:space="preserve"> России с привлечением Фонда социального страхования Российской Федерации будет проведена информационно-разъяснительная работа с работодателями в целях внедрения корпоративных программ по укреплению здоровья работников.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Работодателями будут проведены м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формированию здорового образа жизни, отказа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 xml:space="preserve"> от курения и употребления алкогольных напитков, перехода на здоровое питание. 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пилотных регионо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в и в средствах массовой информации в рамках информационно-коммуникационной кампании.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&amp;quot" w:eastAsia="&amp;quot" w:hAnsi="&amp;quot" w:cs="&amp;quot"/>
                <w:spacing w:val="-2"/>
                <w:sz w:val="19"/>
                <w:szCs w:val="19"/>
              </w:rPr>
              <w:t>Срок (справочно из паспорта федерального проекта): 15.12.2024</w:t>
            </w:r>
          </w:p>
          <w:p w:rsidR="00E40F78" w:rsidRDefault="00E40F78"/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4902" w:type="dxa"/>
            <w:gridSpan w:val="3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1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4902" w:type="dxa"/>
            <w:gridSpan w:val="3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4902" w:type="dxa"/>
            <w:gridSpan w:val="3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84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85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итогампилотного проекта будет проработан вопрос о необходимости внесения изменений взаконодательство Российской Федерации, включая Трудовой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кодекс РоссийскойФедерации, предусматривающие необходимость дляработодателей внедрять корпоративныепрограммы по укреплению здоровья работников. Всубъектах Российской Федерации с организационно-методическим сопровождениемНМИЦ профилактической медицины Минзд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рава России с привлечением Фондасоциального страхования Российской Федерации будет проведенаинформационно-разъяснительная работа с работодателями в целях внедрения корпоративныхпрограмм по укреплению здоровья работников.Работодателямибудут проведены меропр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иятия, указанные в корпоративных программах, включаяпривлечение медицинских работников центров общественного здоровья и центровздоровья для обследования работников и проведения школ и лекционных занятий поформированию здорового образа жизни, отказа от куре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и употребленияалкогольных напитков, перехода на здоровое питание. Примерынаилучших результатов по проведению корпоративных программ будут опубликованына сайте Минздрава России, интернет-сайтах органов исполнительной властипилотных регионов и в средства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массовой информации в рамкахинформационно-коммуникационной кампании.</w:t>
            </w:r>
          </w:p>
          <w:p w:rsidR="00E40F78" w:rsidRDefault="00E40F78"/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15.12.2021 - 1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53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51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61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619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/>
        </w:tc>
      </w:tr>
      <w:tr w:rsidR="00E40F78">
        <w:trPr>
          <w:trHeight w:hRule="exact" w:val="157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902" w:type="dxa"/>
            <w:gridSpan w:val="3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Собственные результаты</w:t>
            </w:r>
          </w:p>
          <w:p w:rsidR="00E40F78" w:rsidRDefault="00E40F78"/>
        </w:tc>
      </w:tr>
      <w:tr w:rsidR="00E40F78">
        <w:trPr>
          <w:trHeight w:hRule="exact" w:val="136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ифункционирования центров общественного здоровья, включая создание центровобщественного здоровья, внедрение новой учетно-отчетной документации</w:t>
            </w:r>
          </w:p>
          <w:p w:rsidR="00E40F78" w:rsidRDefault="00E40F78"/>
        </w:tc>
      </w:tr>
      <w:tr w:rsidR="00E40F78">
        <w:trPr>
          <w:trHeight w:hRule="exact" w:val="57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15.12.2020 - 1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103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внедрение модели организации и функционирования первичного центра общественного здоровья на базе 1 центра здоровья в ГБУЗ РК «Воркутинская поликлиника»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ифункционирования центров обществе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нного здоровья, включая создание центровобщественного здоровья, внедрение новой учетно-отчетной документации</w:t>
            </w:r>
          </w:p>
          <w:p w:rsidR="00E40F78" w:rsidRDefault="00E40F78"/>
        </w:tc>
      </w:tr>
      <w:tr w:rsidR="00E40F78">
        <w:trPr>
          <w:trHeight w:hRule="exact" w:val="57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15.12.2024 - 1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634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внедрение модели организации и функционирования первичного центра общественного здоровья на базе 3 центров здоровья ГБУЗ РК «Ухтинская городская поликлиника», ГБУЗ РК «Ухтинская детская больница», ГБУЗ РК «Сыктывкарская детская поликлиника»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2.2024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ифункционирования центров общественного здоровья, включая создание центровобщественного здоровья, внедрение новой учетно-отчетной документации</w:t>
            </w:r>
          </w:p>
          <w:p w:rsidR="00E40F78" w:rsidRDefault="00E40F78"/>
        </w:tc>
      </w:tr>
      <w:tr w:rsidR="00E40F78">
        <w:trPr>
          <w:trHeight w:hRule="exact" w:val="57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15.12.2024 - 3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17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2163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4.4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приказомМинздрава России.Проведен конкурс по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тбору проектов напредоставление субсидий некоммерческим организациям, реализующим проекты поформированию приверженности здоровому образу жизни.Наилучшие проекты, ставшие победителямиконкурса, размещены на официальном сайте Министерства здравоохранения Респ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убликиКоми.Внедрены рекомендации по наилучшим практикамреализации волонтерства в сфере охраны здоровья.Направлено информационноеписьмо в муниципальные образования и медицинские организации Республики Коми</w:t>
            </w:r>
          </w:p>
          <w:p w:rsidR="00E40F78" w:rsidRDefault="00E40F78"/>
        </w:tc>
      </w:tr>
      <w:tr w:rsidR="00E40F78">
        <w:trPr>
          <w:trHeight w:hRule="exact" w:val="276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30.07.2019 - 1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2163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4.5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приказомМинздрава России.Проведен конкурс по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тбору проектов напредоставление субсидий некоммерческим организациям, реализующим проекты поформированию приверженности здоровому образу жизни.Наилучшие проекты, ставшие победителямиконкурса, размещены на официальном сайте Министерства здравоохранения Респ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убликиКоми.Внедрены рекомендации по наилучшим практикамреализации волонтерства в сфере охраны здоровья.Направлено информационноеписьмо в муниципальные образования и медицинские организации Республики Коми</w:t>
            </w:r>
          </w:p>
          <w:p w:rsidR="00E40F78" w:rsidRDefault="00E40F78"/>
        </w:tc>
      </w:tr>
      <w:tr w:rsidR="00E40F78">
        <w:trPr>
          <w:trHeight w:hRule="exact" w:val="276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30.07.2020 - 1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2163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4.6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приказомМинздрава России.Проведен конкурс по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тбору проектов напредоставление субсидий некоммерческим организациям, реализующим проекты поформированию приверженности здоровому образу жизни.Наилучшие проекты, ставшие победителямиконкурса, размещены на официальном сайте Министерства здравоохранения Респ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убликиКоми.Внедрены рекомендации по наилучшим практикамреализации волонтерства в сфере охраны здоровья.Направлено информационноеписьмо в муниципальные образования и медицинские организации Республики Коми</w:t>
            </w:r>
          </w:p>
          <w:p w:rsidR="00E40F78" w:rsidRDefault="00E40F78"/>
        </w:tc>
      </w:tr>
      <w:tr w:rsidR="00E40F78">
        <w:trPr>
          <w:trHeight w:hRule="exact" w:val="276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30.07.2021 - 1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55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2164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4.7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приказомМинздрава России.Проведен конкурс по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тбору проектов напредоставление субсидий некоммерческим организациям, реализующим проекты поформированию приверженности здоровому образу жизни.Наилучшие проекты, ставшие победителямиконкурса, размещены на официальном сайте Министерства здравоохранения Респ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убликиКоми.Внедрены рекомендации по наилучшим практикамреализации волонтерства в сфере охраны здоровья.Направлено информационноеписьмо в муниципальные образования и медицинские организации Республики Коми</w:t>
            </w:r>
          </w:p>
          <w:p w:rsidR="00E40F78" w:rsidRDefault="00E40F78"/>
        </w:tc>
      </w:tr>
      <w:tr w:rsidR="00E40F78">
        <w:trPr>
          <w:trHeight w:hRule="exact" w:val="276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30.07.2022 - 1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2164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4.8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приказомМинздрава России.Проведен конкурс по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тбору проектов напредоставление субсидий некоммерческим организациям, реализующим проекты поформированию приверженности здоровому образу жизни.Наилучшие проекты, ставшие победителямиконкурса, размещены на официальном сайте Министерства здравоохранения Респ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убликиКоми.Внедрены рекомендации по наилучшим практикамреализации волонтерства в сфере охраны здоровья.Направлено информационноеписьмо в муниципальные образования и медицинские организации Республики Коми</w:t>
            </w:r>
          </w:p>
          <w:p w:rsidR="00E40F78" w:rsidRDefault="00E40F78"/>
        </w:tc>
      </w:tr>
      <w:tr w:rsidR="00E40F78">
        <w:trPr>
          <w:trHeight w:hRule="exact" w:val="276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30.07.2023 - 1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2164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4.9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здоровому образу жизни.Принято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приказомМинздрава России.Проведен конкурс по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тбору проектов напредоставление субсидий некоммерческим организациям, реализующим проекты поформированию приверженности здоровому образу жизни.Наилучшие проекты, ставшие победителямиконкурса, размещены на официальном сайте Министерства здравоохранения Респ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убликиКоми.Внедрены рекомендации по наилучшим практикамреализации волонтерства в сфере охраны здоровья.Направлено информационноеписьмо в муниципальные образования и медицинские организации Республики Коми</w:t>
            </w:r>
          </w:p>
          <w:p w:rsidR="00E40F78" w:rsidRDefault="00E40F78"/>
        </w:tc>
      </w:tr>
      <w:tr w:rsidR="00E40F78">
        <w:trPr>
          <w:trHeight w:hRule="exact" w:val="276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30.07.2024 - 1 шт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1362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4.10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распространенырекламно-информационные мате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риалы для проведения информационно-коммуникационной кампании с использованием основных телекоммуникационных каналов для всех целевых аудиторий.Основными направлениями информационно-коммуникационной кампании являются: пропаганда сокращения потребления алког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ерженности вакцинации.Проведена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кампании.Подведены промежуточные итоги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E40F78" w:rsidRDefault="00E40F78"/>
        </w:tc>
      </w:tr>
      <w:tr w:rsidR="00E40F78">
        <w:trPr>
          <w:trHeight w:hRule="exact" w:val="24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15.12.2019 - 75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43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892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877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136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распространенырекламно-информационные мате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риалы для проведения информационно-коммуникационной кампании с использованием основных телекоммуникационных каналов для всех целевых аудиторий. Основными направлениямиинформационно-коммуникационной кампании являются: пропаганда сокращения потребления алког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ерженности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вакцинации.Проведена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кампании.Подведены промежуточные итоги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E40F78" w:rsidRDefault="00E40F78"/>
        </w:tc>
      </w:tr>
      <w:tr w:rsidR="00E40F78">
        <w:trPr>
          <w:trHeight w:hRule="exact" w:val="24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15.12.2020 - 75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43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877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877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136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4.12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распространенырекламно-информационные мате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риалы для проведения информационно-коммуникационной кампании с использованием основных телекоммуникационных каналов для всех целевых аудиторий. Основными направлениямиинформационно-коммуникационной кампании являются: пропаганда сокращения потребления алког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ерженности вакцинации.Проведена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кампании.Подведены промежуточные итоги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E40F78" w:rsidRDefault="00E40F78"/>
        </w:tc>
      </w:tr>
      <w:tr w:rsidR="00E40F78">
        <w:trPr>
          <w:trHeight w:hRule="exact" w:val="24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15.12.2021 - 75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43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877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877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136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4.13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распространенырекламно-информационные мате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риалы для проведения информационно-коммуникационной кампании с использованием основных телекоммуникационных каналов для всех целевых аудиторий. Основными направлениямиинформационно-коммуникационной кампании являются: пропаганда сокращения потребления алког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ерженности вакцинации.Проведена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кампании.Подведены промежуточные итоги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E40F78" w:rsidRDefault="00E40F78"/>
        </w:tc>
      </w:tr>
      <w:tr w:rsidR="00E40F78">
        <w:trPr>
          <w:trHeight w:hRule="exact" w:val="24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15.12.2022 - 75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43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877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877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136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4.14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распространенырекламно-информационные мате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риалы для проведения информационно-коммуникационной кампании с использованием основных телекоммуникационных каналов для всех целевых аудиторий. Основными направлениямиинформационно-коммуникационной кампании являются: пропаганда сокращения потребления алког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ерженности вакцинации.Проведена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кампании.Подведены промежуточные итоги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E40F78" w:rsidRDefault="00E40F78"/>
        </w:tc>
      </w:tr>
      <w:tr w:rsidR="00E40F78">
        <w:trPr>
          <w:trHeight w:hRule="exact" w:val="24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15.12.2023 - 75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43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89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877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136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4.15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распространенырекламно-информационные мате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риалы для проведения информационно-коммуникационной кампании с использованием основных телекоммуникационных каналов для всех целевых аудиторий. Основными направлениямиинформационно-коммуникационной кампании являются: пропаганда сокращения потребления алког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ерженности вакцинации.Проведена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кампании.Подведены промежуточные итоги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E40F78" w:rsidRDefault="00E40F78"/>
        </w:tc>
      </w:tr>
      <w:tr w:rsidR="00E40F78">
        <w:trPr>
          <w:trHeight w:hRule="exact" w:val="24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15.12.2024 - 75 ПРОЦ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43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634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4.16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Управлением информационного обеспечения Администрации Главы Республики Коми в соответствии с установленным порядкомоказана государственная поддержка производства телевизионных и радиопрограмм,телевизионных документальных фильмов, направленных 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пропаганду здоровогообраза жизни, физической культуры, спорта и здорового питания, создания винформационно-телекоммуникационной сети «Интернет» тематических Интернет-ресурсов.</w:t>
            </w:r>
          </w:p>
          <w:p w:rsidR="00E40F78" w:rsidRDefault="00E40F78"/>
        </w:tc>
      </w:tr>
      <w:tr w:rsidR="00E40F78">
        <w:trPr>
          <w:trHeight w:hRule="exact" w:val="917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31.12.2019 - 2000 -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20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6305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E40F78">
        <w:trPr>
          <w:trHeight w:hRule="exact" w:val="136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4.17</w:t>
            </w:r>
          </w:p>
        </w:tc>
        <w:tc>
          <w:tcPr>
            <w:tcW w:w="702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6305" w:type="dxa"/>
            <w:gridSpan w:val="1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Управлением информационного обеспеченияАдминистрации Главы Республики Коми в соответствии с установленным порядкомоказана государственная поддержка периодическим печатным изданиям на реализациюпроектов, направленных на пропаганду здорового образ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жизни, физическойкультуры, спорта и здорового питания.</w:t>
            </w:r>
          </w:p>
          <w:p w:rsidR="00E40F78" w:rsidRDefault="00E40F78"/>
        </w:tc>
      </w:tr>
      <w:tr w:rsidR="00E40F78">
        <w:trPr>
          <w:trHeight w:hRule="exact" w:val="674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702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287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31.12.2019 - 10 ТЫС ЭКЗ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6305" w:type="dxa"/>
            <w:gridSpan w:val="1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86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551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255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143"/>
        </w:trPr>
        <w:tc>
          <w:tcPr>
            <w:tcW w:w="860" w:type="dxa"/>
            <w:gridSpan w:val="4"/>
            <w:shd w:val="clear" w:color="auto" w:fill="auto"/>
          </w:tcPr>
          <w:p w:rsidR="00E40F78" w:rsidRDefault="00094AD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5"/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4. Финансовое обеспечение реализации регионального проекта</w:t>
            </w:r>
          </w:p>
          <w:p w:rsidR="00E40F78" w:rsidRDefault="00E40F78"/>
        </w:tc>
      </w:tr>
      <w:tr w:rsidR="00E40F78">
        <w:trPr>
          <w:trHeight w:hRule="exact" w:val="430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E40F78">
        <w:trPr>
          <w:trHeight w:hRule="exact" w:val="286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E40F78">
        <w:trPr>
          <w:trHeight w:hRule="exact" w:val="71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E40F78" w:rsidRDefault="00E40F78"/>
        </w:tc>
        <w:tc>
          <w:tcPr>
            <w:tcW w:w="14615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федерального проекта (справочно из паспорта федерального проекта): Субъекты Российской Федерации обеспечили внедрение модели организации и функционирования центров общественного здоровья.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</w:tr>
      <w:tr w:rsidR="00E40F78">
        <w:trPr>
          <w:trHeight w:hRule="exact" w:val="1763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71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1.1.4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61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E40F78">
        <w:trPr>
          <w:trHeight w:hRule="exact" w:val="286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E40F78">
        <w:trPr>
          <w:trHeight w:hRule="exact" w:val="1762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71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445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445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1.2.4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91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23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E40F78">
        <w:trPr>
          <w:trHeight w:hRule="exact" w:val="287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E40F78">
        <w:trPr>
          <w:trHeight w:hRule="exact" w:val="1762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5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71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1.3.4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90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E40F78">
        <w:trPr>
          <w:trHeight w:hRule="exact" w:val="287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E40F78">
        <w:trPr>
          <w:trHeight w:hRule="exact" w:val="1763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71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1.4.4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90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E40F78">
        <w:trPr>
          <w:trHeight w:hRule="exact" w:val="287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E40F78">
        <w:trPr>
          <w:trHeight w:hRule="exact" w:val="1763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71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1.5.4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90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E40F78">
        <w:trPr>
          <w:trHeight w:hRule="exact" w:val="287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E40F78">
        <w:trPr>
          <w:trHeight w:hRule="exact" w:val="1763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6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71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 т.ч.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</w:tr>
      <w:tr w:rsidR="00E40F78">
        <w:trPr>
          <w:trHeight w:hRule="exact" w:val="97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1.6.3.2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24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1.6.3.3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444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1.6.4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92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0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5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(млн. рублей)</w:t>
            </w:r>
          </w:p>
        </w:tc>
      </w:tr>
      <w:tr w:rsidR="00E40F78">
        <w:trPr>
          <w:trHeight w:hRule="exact" w:val="287"/>
        </w:trPr>
        <w:tc>
          <w:tcPr>
            <w:tcW w:w="10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444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10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4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E40F78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 по региональному проекту, в том числе: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14,40</w:t>
            </w:r>
          </w:p>
        </w:tc>
      </w:tr>
      <w:tr w:rsidR="00E40F78">
        <w:trPr>
          <w:trHeight w:hRule="exact" w:val="100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 (в т.ч. межбюджетные трансферты бюджету) (Республика Коми)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00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бюджеты государственных внебюджетных 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фондов Российской Федерации и их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территориальных фондов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в т.ч.: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14,40</w:t>
            </w:r>
          </w:p>
        </w:tc>
      </w:tr>
      <w:tr w:rsidR="00E40F78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 субъекта Российской Федерации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2,40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14,40</w:t>
            </w:r>
          </w:p>
        </w:tc>
      </w:tr>
      <w:tr w:rsidR="00E40F78">
        <w:trPr>
          <w:trHeight w:hRule="exact" w:val="100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00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15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</w:tr>
      <w:tr w:rsidR="00E40F78">
        <w:trPr>
          <w:trHeight w:hRule="exact" w:val="1562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562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143"/>
        </w:trPr>
        <w:tc>
          <w:tcPr>
            <w:tcW w:w="860" w:type="dxa"/>
            <w:gridSpan w:val="4"/>
            <w:shd w:val="clear" w:color="auto" w:fill="auto"/>
          </w:tcPr>
          <w:p w:rsidR="00E40F78" w:rsidRDefault="00094AD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5"/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Участники регионального проекта</w:t>
            </w:r>
          </w:p>
          <w:p w:rsidR="00E40F78" w:rsidRDefault="00E40F78"/>
        </w:tc>
      </w:tr>
      <w:tr w:rsidR="00E40F78">
        <w:trPr>
          <w:trHeight w:hRule="exact" w:val="57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E40F78">
        <w:trPr>
          <w:trHeight w:hRule="exact" w:val="86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86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E40F78" w:rsidRDefault="00E40F78"/>
        </w:tc>
      </w:tr>
      <w:tr w:rsidR="00E40F78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E40F78">
        <w:trPr>
          <w:trHeight w:hRule="exact" w:val="71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Сидоров М.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уролог Министерства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</w:tr>
      <w:tr w:rsidR="00E40F78">
        <w:trPr>
          <w:trHeight w:hRule="exact" w:val="71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E40F78">
        <w:trPr>
          <w:trHeight w:hRule="exact" w:val="153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Ткаченко Е. В.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стоматолог Министерства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E40F78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Голикова Е. Н.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эндокринолог Министерства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внедрили муниципальные программы общественного здоровья</w:t>
            </w:r>
          </w:p>
          <w:p w:rsidR="00E40F78" w:rsidRDefault="00E40F78"/>
        </w:tc>
      </w:tr>
      <w:tr w:rsidR="00E40F78">
        <w:trPr>
          <w:trHeight w:hRule="exact" w:val="97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E40F78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Босенко М.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координатор Всероссийского общественного движения «Волонтеры-медики»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E40F78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E40F78" w:rsidRDefault="00E40F78"/>
        </w:tc>
      </w:tr>
      <w:tr w:rsidR="00E40F78">
        <w:trPr>
          <w:trHeight w:hRule="exact" w:val="97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194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E40F78" w:rsidRDefault="00E40F78"/>
        </w:tc>
      </w:tr>
      <w:tr w:rsidR="00E40F78">
        <w:trPr>
          <w:trHeight w:hRule="exact" w:val="97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E40F78" w:rsidRDefault="00E40F78"/>
        </w:tc>
      </w:tr>
      <w:tr w:rsidR="00E40F78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17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717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E40F78" w:rsidRDefault="00E40F78"/>
        </w:tc>
      </w:tr>
      <w:tr w:rsidR="00E40F78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717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E40F78" w:rsidRDefault="00E40F78"/>
        </w:tc>
      </w:tr>
      <w:tr w:rsidR="00E40F78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E40F78" w:rsidRDefault="00E40F78"/>
        </w:tc>
      </w:tr>
      <w:tr w:rsidR="00E40F78">
        <w:trPr>
          <w:trHeight w:hRule="exact" w:val="97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  <w:p w:rsidR="00E40F78" w:rsidRDefault="00E40F78"/>
        </w:tc>
      </w:tr>
      <w:tr w:rsidR="00E40F78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57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716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  <w:p w:rsidR="00E40F78" w:rsidRDefault="00E40F78"/>
        </w:tc>
      </w:tr>
      <w:tr w:rsidR="00E40F78">
        <w:trPr>
          <w:trHeight w:hRule="exact" w:val="97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  <w:p w:rsidR="00E40F78" w:rsidRDefault="00E40F78"/>
        </w:tc>
      </w:tr>
      <w:tr w:rsidR="00E40F78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E40F78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</w:t>
            </w:r>
          </w:p>
        </w:tc>
        <w:tc>
          <w:tcPr>
            <w:tcW w:w="2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</w:tr>
      <w:tr w:rsidR="00E40F78">
        <w:trPr>
          <w:trHeight w:hRule="exact" w:val="286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02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202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559"/>
        </w:trPr>
        <w:tc>
          <w:tcPr>
            <w:tcW w:w="15618" w:type="dxa"/>
            <w:gridSpan w:val="39"/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6. Дополнительная информация</w:t>
            </w:r>
          </w:p>
        </w:tc>
      </w:tr>
      <w:tr w:rsidR="00E40F78">
        <w:trPr>
          <w:trHeight w:hRule="exact" w:val="14"/>
        </w:trPr>
        <w:tc>
          <w:tcPr>
            <w:tcW w:w="15603" w:type="dxa"/>
            <w:gridSpan w:val="38"/>
            <w:tcBorders>
              <w:bottom w:val="single" w:sz="5" w:space="0" w:color="000000"/>
            </w:tcBorders>
          </w:tcPr>
          <w:p w:rsidR="00E40F78" w:rsidRDefault="00E40F78"/>
        </w:tc>
        <w:tc>
          <w:tcPr>
            <w:tcW w:w="15" w:type="dxa"/>
          </w:tcPr>
          <w:p w:rsidR="00E40F78" w:rsidRDefault="00E40F78"/>
        </w:tc>
      </w:tr>
      <w:tr w:rsidR="00E40F78">
        <w:trPr>
          <w:trHeight w:hRule="exact" w:val="2866"/>
        </w:trPr>
        <w:tc>
          <w:tcPr>
            <w:tcW w:w="15603" w:type="dxa"/>
            <w:gridSpan w:val="3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1. Выделение наиболее значимых и заметных для общества укрупненных целей и задач, предусмотрев их приоритетное финансирование и концентрацию иных ресурсов для их достижения</w:t>
            </w:r>
          </w:p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Наиболее значимыми задачами проекта, по которым определено приоритетное финансирование и концентрация других ресурсов, следует считать мероприятия: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разработке и принятию нормативных правовых актов и методических документов по вопросам ведения гражданами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здорового образа жизни, основанные на рекомендациях Всемирной организации здравоохранения, включая создание на базе центров здоровья и центров медицинской профилактики центров общественного здоровья;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в 100% муниципальных образований модель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ных муниципальных программ по укреплению общественного здоровья;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модели организации и функционирования центров общественного здоровья;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внедрению корпоративных программ, содержащих наилучшие практики по укреплению здоровья работников;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по проведению ежегодной коммуникационной кампании, пропагандируешь здоровый образ жизни и бережное отношение к здоровью с охватом не менее 75% аудитории старше 12 лет по основным каналам: телевидение, радио и в информационно-телекоммуникационной сети «И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нтернет»;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2. Обоснование эффективности, достаточности и необходимости предлагаемых мероприятий</w:t>
            </w:r>
          </w:p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Широкомасштабная информационно-коммуникационная кампания по вопросам здорового питания, направленная на преодоление избыточного потребления сахара, соли и жира будет проведена в целях формирования приверженности граждан принципам здорового питания. Предпол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агается, что кампанией будет охвачено почти все население России за 2021-2024 годы. При этом кампании также будут адресными: с выбором наилучших каналов доведения информации до различных возрастных и социальных групп и соответствующей адаптированной подаче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информации.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 </w:t>
            </w:r>
          </w:p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3. Первоочередная реализация в проекте мероприятий, позволяющих оптимизировать или минимизировать стоимость последующих мероприятий</w:t>
            </w:r>
          </w:p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Привлечение НКО и волонтерских организаций к внедрению модельных программ по профилактике неинфекционных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заболеваний и основам здорового образа жизни позволит компенсировать кадровый дефицит специалистов по общественному здоровью, увеличить охват целевой аудитории без дополнительного финансирования и обеспечить вовлечение самых широких групп.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/>
        </w:tc>
        <w:tc>
          <w:tcPr>
            <w:tcW w:w="15" w:type="dxa"/>
            <w:tcBorders>
              <w:left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865"/>
        </w:trPr>
        <w:tc>
          <w:tcPr>
            <w:tcW w:w="15603" w:type="dxa"/>
            <w:gridSpan w:val="3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" w:type="dxa"/>
            <w:tcBorders>
              <w:left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992"/>
        </w:trPr>
        <w:tc>
          <w:tcPr>
            <w:tcW w:w="15603" w:type="dxa"/>
            <w:gridSpan w:val="3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" w:type="dxa"/>
            <w:tcBorders>
              <w:left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992"/>
        </w:trPr>
        <w:tc>
          <w:tcPr>
            <w:tcW w:w="15603" w:type="dxa"/>
            <w:gridSpan w:val="3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" w:type="dxa"/>
            <w:tcBorders>
              <w:left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03" w:type="dxa"/>
            <w:gridSpan w:val="38"/>
            <w:tcBorders>
              <w:top w:val="single" w:sz="5" w:space="0" w:color="000000"/>
            </w:tcBorders>
          </w:tcPr>
          <w:p w:rsidR="00E40F78" w:rsidRDefault="00E40F78"/>
        </w:tc>
        <w:tc>
          <w:tcPr>
            <w:tcW w:w="15" w:type="dxa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</w:tr>
      <w:tr w:rsidR="00E40F78">
        <w:trPr>
          <w:trHeight w:hRule="exact" w:val="430"/>
        </w:trPr>
        <w:tc>
          <w:tcPr>
            <w:tcW w:w="15603" w:type="dxa"/>
            <w:gridSpan w:val="38"/>
            <w:tcBorders>
              <w:bottom w:val="single" w:sz="5" w:space="0" w:color="000000"/>
            </w:tcBorders>
          </w:tcPr>
          <w:p w:rsidR="00E40F78" w:rsidRDefault="00E40F78"/>
        </w:tc>
        <w:tc>
          <w:tcPr>
            <w:tcW w:w="15" w:type="dxa"/>
          </w:tcPr>
          <w:p w:rsidR="00E40F78" w:rsidRDefault="00E40F78"/>
        </w:tc>
      </w:tr>
      <w:tr w:rsidR="00E40F78">
        <w:trPr>
          <w:trHeight w:hRule="exact" w:val="1605"/>
        </w:trPr>
        <w:tc>
          <w:tcPr>
            <w:tcW w:w="15603" w:type="dxa"/>
            <w:gridSpan w:val="3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4. Сдерживающие факторы при реализации регнионального проекта.</w:t>
            </w:r>
          </w:p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Недостаточная штатная численность медицинских работников, участвующих в реализации федерального проекта, а также отсутствие в штате структур медицинской профилактики специалистов по коммуникационным проектам, PR, рекламе, таргетированным механизмам размеще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в сети «Интеренет», проектных менеджеров, специалистов по корпоративной среде, специалистов по работе с НКО. Также необходимо отметить высокую стоимость размещения роликов в сети интернет, трансляцию передач на теле-радио - каналах. Выделение средств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рамках предусмотренного бюджета на привлечение указанных специалистов и проведение информационно-коммуникационной кампании необходимо для реализации запланированных в региональном проекте мероприятий в полном объеме.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 фактором риска недостижения целевых показателей при реализации регионального проекта является отсутствие запланированного федерального финансирования на создание центров общественного здоровья.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/>
        </w:tc>
        <w:tc>
          <w:tcPr>
            <w:tcW w:w="15" w:type="dxa"/>
            <w:tcBorders>
              <w:left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590"/>
        </w:trPr>
        <w:tc>
          <w:tcPr>
            <w:tcW w:w="15603" w:type="dxa"/>
            <w:gridSpan w:val="3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" w:type="dxa"/>
            <w:tcBorders>
              <w:left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866"/>
        </w:trPr>
        <w:tc>
          <w:tcPr>
            <w:tcW w:w="15603" w:type="dxa"/>
            <w:gridSpan w:val="3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Региональный проект направлен на достижение цели национального проекта «Демография» по увеличению ожидаемой продолжительности здоровой жизни до 67 лет, увеличение обращаемости в медицинские организации по вопросам здорового образа жизни, в том числе увели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чение числа лиц, которым рекомендованы индивидуальные планы по здоровому образу жизни, а также на достижение национальной цели по росту ожидаемой продолжительности жизни до 78 лет к 2024 году. Кроме того, мероприятия, связанные с формированием здоровья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производстве, которые в долгосрочной перспективе приведут к снижению случаев временной нетрудоспособности, дадут свой вклад в снижение бедности населения и повышения их доходов.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Более того, мероприятия, запланированные в рамках данного регионального проект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должны оказать влияние на такие показатели национального проекта «Демография», как: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увеличение суммарного коэффициента рождаемости (благодаря мероприятиям по укреплению репродуктивного здоровья);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доля граждан, систематически занимающихся физической культ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урой и спортом (благодаря модельным муниципальным и корпоративным программам).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регионального проекта объединены меры, направленные на формирование системы мотивации граждан к ведению здорового образа жизни. Предусматриваемые проектом мероприятия 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осят комплексный характер и включают разработку мер по дальнейшему ограничению потребления алкоголя, защите от табачного дыма, ликвидации микронутриентной недостаточности, сокращение потребления соли и сахара), мониторингу за состоянием питания различных 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рупп населения с применением научных исследований. 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Основной задачей регионального проекта является формирование среды, способствующей ведению гражданами здорового образа жизни, включая создание на базе существующих центров здоровья, центров общественного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здоровья. Центры общественного здоровья должны стать центральным элементов в координации программ популяционной профилактики, реализуемых с участием представителей муниципальных властей, крупного и среднего бизнеса, волонтерских движений и НКО, специализир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ующихся в сфере общественного здоровья и здорового образа жизни. 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Информационная поддержка будет осуществляться в рамках ежегодной информационно-коммуникационной кампании с охватом не менее 75% (не менее 70% в 2021 г.) аудитории граждан старше 12 лет по 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новным каналам: телевидение, радио и в информационно-телекоммуникационной сети «Интернет. При размещении информационных материалов будут задействованы механизмы таргетинга (география, демография, интересы, сообщества, путешествия, устройства). Указанные 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ры позволят лучше понять психологию пользователя и коммуникационно воздействовать на него на индивидуальном уровне.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Реализация муниципальных программ общественного здоровья вместе с внедрением корпоративных программ позволит максимально охватить целевую ау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диторию трудоспособной части населения, повысив осведомленность граждан о принципах здорового образа жизни.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Увеличение доли лиц, приверженных здоровому образу жизни, приведет к снижению заболеваемости и смертности от основных хронических и неинфекционных 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аболеваний (ХНИЗ) (сердечно-сосудистых, онкологических) и внешних причин (например, связанных с потреблением алкоголя) в трудоспособном возрасте. Эффективная профилактика ХНИЗ будет реализована в рамках внедрения популяционной профилактической модели на 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зе </w:t>
            </w:r>
          </w:p>
          <w:p w:rsidR="00E40F78" w:rsidRDefault="00E40F78"/>
        </w:tc>
        <w:tc>
          <w:tcPr>
            <w:tcW w:w="15" w:type="dxa"/>
            <w:tcBorders>
              <w:left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120"/>
        </w:trPr>
        <w:tc>
          <w:tcPr>
            <w:tcW w:w="15603" w:type="dxa"/>
            <w:gridSpan w:val="3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" w:type="dxa"/>
            <w:tcBorders>
              <w:left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107"/>
        </w:trPr>
        <w:tc>
          <w:tcPr>
            <w:tcW w:w="15603" w:type="dxa"/>
            <w:gridSpan w:val="3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5" w:type="dxa"/>
            <w:tcBorders>
              <w:left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44"/>
        </w:trPr>
        <w:tc>
          <w:tcPr>
            <w:tcW w:w="15603" w:type="dxa"/>
            <w:gridSpan w:val="38"/>
            <w:tcBorders>
              <w:top w:val="single" w:sz="5" w:space="0" w:color="000000"/>
            </w:tcBorders>
          </w:tcPr>
          <w:p w:rsidR="00E40F78" w:rsidRDefault="00E40F78"/>
        </w:tc>
        <w:tc>
          <w:tcPr>
            <w:tcW w:w="15" w:type="dxa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</w:tr>
      <w:tr w:rsidR="00E40F78">
        <w:trPr>
          <w:trHeight w:hRule="exact" w:val="429"/>
        </w:trPr>
        <w:tc>
          <w:tcPr>
            <w:tcW w:w="15603" w:type="dxa"/>
            <w:gridSpan w:val="38"/>
            <w:tcBorders>
              <w:bottom w:val="single" w:sz="5" w:space="0" w:color="000000"/>
            </w:tcBorders>
          </w:tcPr>
          <w:p w:rsidR="00E40F78" w:rsidRDefault="00E40F78"/>
        </w:tc>
        <w:tc>
          <w:tcPr>
            <w:tcW w:w="15" w:type="dxa"/>
          </w:tcPr>
          <w:p w:rsidR="00E40F78" w:rsidRDefault="00E40F78"/>
        </w:tc>
      </w:tr>
      <w:tr w:rsidR="00E40F78">
        <w:trPr>
          <w:trHeight w:hRule="exact" w:val="975"/>
        </w:trPr>
        <w:tc>
          <w:tcPr>
            <w:tcW w:w="15603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создаваемых центров общественного здоровья. </w:t>
            </w:r>
          </w:p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Региональный проект включает мероприятия, запланированные ранее приоритетным проектом «Формирование здорового образа жизни», включая преемственность финансового обеспечения этих мероприятий.</w:t>
            </w:r>
          </w:p>
          <w:p w:rsidR="00E40F78" w:rsidRDefault="00E40F78"/>
        </w:tc>
        <w:tc>
          <w:tcPr>
            <w:tcW w:w="15" w:type="dxa"/>
            <w:tcBorders>
              <w:left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865"/>
        </w:trPr>
        <w:tc>
          <w:tcPr>
            <w:tcW w:w="15603" w:type="dxa"/>
            <w:gridSpan w:val="38"/>
            <w:tcBorders>
              <w:top w:val="single" w:sz="5" w:space="0" w:color="000000"/>
            </w:tcBorders>
          </w:tcPr>
          <w:p w:rsidR="00E40F78" w:rsidRDefault="00E40F78"/>
        </w:tc>
        <w:tc>
          <w:tcPr>
            <w:tcW w:w="15" w:type="dxa"/>
          </w:tcPr>
          <w:p w:rsidR="00E40F78" w:rsidRDefault="00E40F78"/>
        </w:tc>
      </w:tr>
      <w:tr w:rsidR="00E40F78">
        <w:trPr>
          <w:trHeight w:hRule="exact" w:val="286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200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200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574"/>
        </w:trPr>
        <w:tc>
          <w:tcPr>
            <w:tcW w:w="11462" w:type="dxa"/>
            <w:gridSpan w:val="29"/>
          </w:tcPr>
          <w:p w:rsidR="00E40F78" w:rsidRDefault="00E40F78"/>
        </w:tc>
        <w:tc>
          <w:tcPr>
            <w:tcW w:w="4156" w:type="dxa"/>
            <w:gridSpan w:val="10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</w:tr>
      <w:tr w:rsidR="00E40F78">
        <w:trPr>
          <w:trHeight w:hRule="exact" w:val="573"/>
        </w:trPr>
        <w:tc>
          <w:tcPr>
            <w:tcW w:w="11462" w:type="dxa"/>
            <w:gridSpan w:val="29"/>
          </w:tcPr>
          <w:p w:rsidR="00E40F78" w:rsidRDefault="00E40F78"/>
        </w:tc>
        <w:tc>
          <w:tcPr>
            <w:tcW w:w="4156" w:type="dxa"/>
            <w:gridSpan w:val="10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</w:tr>
      <w:tr w:rsidR="00E40F78">
        <w:trPr>
          <w:trHeight w:hRule="exact" w:val="2865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286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192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192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144"/>
        </w:trPr>
        <w:tc>
          <w:tcPr>
            <w:tcW w:w="860" w:type="dxa"/>
            <w:gridSpan w:val="4"/>
            <w:shd w:val="clear" w:color="auto" w:fill="auto"/>
          </w:tcPr>
          <w:p w:rsidR="00E40F78" w:rsidRDefault="00094AD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35"/>
            <w:shd w:val="clear" w:color="auto" w:fill="auto"/>
            <w:vAlign w:val="center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E40F78">
        <w:trPr>
          <w:trHeight w:hRule="exact" w:val="716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МЕРОПРИЯТИЙ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по реализации регионального проекта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ческой медицины Минздрава России будет 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1691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69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Мероприятия по контрольной точке отсутствуют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502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71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Мероприятия по контрольной точке отсутствуют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Услуга оказана (работы выполнены)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71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Мероприятия по контрольной точке отсутствуют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837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822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2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176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5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Создание на базе Центра медицинской профилактики ГУ «Республиканский врачебно-физкультурный диспансер» регионального центра общественного здоровья, укомплектование и оснащение центра общественного здоровья в соответствии с утвержденными требованиями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Распорядительный акт органа исполнительной власти Республики Коми на основании Письма в органы управления субъектов Российской Федерации в сфере охраны здоровья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Утверждение штатной численности и оснащения центров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Распорядительный акт органа исполнительной власти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189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2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первичного центра общественного здоровья на базе 1 центра здоровья в ГБУЗ РК «Воркутинская поликлиника»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149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Внедрение модели организации и функционирования первичного центра общественного здоровья на базе 1 центра здоровья в ГБУЗ РК «Воркутинская поликлиника»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49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Адаптация и внедрение модели организации и функционирования первичных центров общественного здоровья на базе 1 центра здоровья в ГБУЗ РК «Воркутинская поликлиника»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891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877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2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первичного центра общественного здоровья на базе 3 центров здоровья ГБУЗ РК «Ухтинская городская поликлиника», ГБУЗ РК «Ухтинская детская больница», ГБУЗ РК «Сыктывкарская детская поликлиника»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Внедрение модели организации и функционирования первичного центра общественного здоровья на базе 3 центров здоровья ГБУЗ РК «Ухтинская городская поликлиника», ГБУЗ РК «Ухтинская детская больница», ГБУЗ РК «Сыктывкарская детская поликлиника»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Адаптация и внедрение модели организации и функционирования первичных центров общественного здоровья на базе 3 центров здоровья ГБУЗ РК «Ухтинская городская поликлиника», ГБУЗ РК «Ухтинская детская больница», ГБУЗ РК «Сыктывкарская детская поликлиника»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278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чшие проекты на официальном сайте Министерства </w:t>
            </w:r>
          </w:p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приверженности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здравоохранения Республики Коми.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4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информационное письмо в муниципальные образования и медицинские организации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Утвержден приказ о предоставлении субсидии некоммерческой организации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82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55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2551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жизни, утвержденное приказом Минздрава России.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муниципальные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образования и медицинские организации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47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47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4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 приказ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177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164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55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25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жизни, утвержденное приказом Минздрава России.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победителями конкурса, размещены на официальном сайте Министерства здравоохранения Республики Коми.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медицинские организации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47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47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4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 приказ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16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163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02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55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25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жизни, утвержденное приказом Минздрава России.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победителями конкурса, размещены на официальном сайте Министерства здравоохранения Республики Коми.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медицинские организации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47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47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4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 приказ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16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163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02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55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внедрили муниципальные программы общественного здоровья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&amp;quot" w:eastAsia="&amp;quot" w:hAnsi="&amp;quot" w:cs="&amp;quot"/>
                <w:spacing w:val="-2"/>
                <w:sz w:val="19"/>
                <w:szCs w:val="19"/>
              </w:rPr>
              <w:t>​</w:t>
            </w:r>
            <w:r>
              <w:rPr>
                <w:rFonts w:ascii="&amp;quot" w:eastAsia="&amp;quot" w:hAnsi="&amp;quot" w:cs="&amp;quot"/>
                <w:spacing w:val="-2"/>
                <w:sz w:val="19"/>
                <w:szCs w:val="19"/>
              </w:rPr>
              <w:t xml:space="preserve"> </w:t>
            </w:r>
          </w:p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 xml:space="preserve">В 100% муниципальных образований на основании рекомендованной Минздравом России  типовой муниципальной программы по укреплению общественного здоровья органами местного самоуправления будут утверждены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2551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муниципальные программы по укреплению общественного здоровья (нарастающим итогом), предусмотрено соответствующее финансирование.</w:t>
            </w:r>
          </w:p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В соответствии с данными программами будет продолжена реализация мероприятий по снижению действия основных факторов риска НИЗ,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 xml:space="preserve"> первичной профилактике заболеваний полости рта, а также мероприятий, направленных на профилактику заболеваний репродуктивной сферы у мужчин.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60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60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49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123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Не менее 20% муниципальных образований Республики Коми адаптировали и внедрили муниципальные программы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23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Разработка модельных муниципальных программ по укреплению общественного здоровья (в том числе программы для моногородов)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Проекты программ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23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Разработка модельных муниципальных программ, направленных на профилактику и раннюю диагностику заболеваний мужской репродуктивной сферы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Проекты программ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97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Разработка модельных региональных и муниципальных программ по первичной профилактике заболеваний полости рта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31.05.2020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Проекты программ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9.1.4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Внедрение центрами общественного здоровья модельных муниципальных программ по укреплению общественного здоровья и снижению действия основных факторов риска НИЗ, включая профилактику заболеваний мужской репродуктивной сферы и заболеваний ротовой полости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Проекты программ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23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Не менее 40% муниципальных образований Республики Коми адаптировали и внедрили муниципальные программы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97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Центрами общественного здоровья проведен анализ эффективности модельных программ, выработаны рекомендации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15.07.2021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67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9.2.2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Внедрение центрами общественного здоровья актуализированных муниципальных программ по укреплению общественного здоровья и снижению действия основных факторов риска НИЗ, включая профилактику заболеваний мужской репродуктивной сферы и заболеваний ротовой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ости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23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Не менее 60% муниципальных образований Республики Коми адаптировали и внедрили муниципальные программы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02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Внедрение центрами общественного здоровья актуализированных муниципальных программ по укреплению общественного здоровья и снижению действия основных факторов риска НИЗ, включая профилактику заболеваний мужской репродуктивной сферы и заболеваний ротовой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ости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Не менее 80% муниципальных образований Республики Коми адаптировали и внедрили муниципальные программы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Совершаева М. А., Заместитель министра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руководителя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Внедрение центрами общественного здоровья актуализированных муниципальных программ по укреплению общественного здоровья и снижению действия основных факторов риска НИЗ, включая профилактику заболеваний мужской репродуктивной сферы и заболеваний ротовой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ости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77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123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9.5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Все (100%) муниципальные образования Республики Коми адаптировали и внедрили муниципальные программы общественного здоровья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9.5.1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Внедрение центрами общественного здоровья актуализированных муниципальных программ по укреплению общественного здоровья и снижению действия основных факторов риска НИЗ, включая профилактику заболеваний мужской репродуктивной сферы и заболеваний ротовой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ости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07.11.2024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</w:t>
            </w:r>
          </w:p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151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504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ставшие победителями конкурса, размещены на официальном сайте Министерства здравоохранения Республики Коми.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Направлено информационное письмо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и медицинские организации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092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077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53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504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 приказ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16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163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02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55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25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здоровому образу жизни, утвержденное приказом Минздрава России.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Наилучшие проекты, ставши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победителями конкурса, размещены на официальном сайте Министерства здравоохранения Республики Коми.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рекомендации по наилучшим практикам реализации волонтерства в сфере охраны здоровья.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Направлено информационное письмо в муниципальные образования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медицинские организации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47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478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6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разработан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505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Разработан проект приказа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Широкова Е. В., Начальник отдела разработки и реализации программ и проектов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24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Документ утвержден (подписан)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24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 приказ о предоставлении субсидии некоммерческой организации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163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164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11.3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спублики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11.3.1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конкурса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жизни, размещение наилучших проектов на официальном сайте Министерства здравоохранения Респуб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лики Коми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30.05.2024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30.07.2024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Нормативный правовой акт Министерства здравоохранения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551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ой кампании являются: пропаганда сокращения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255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повышение приверженности вакцинации.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 отчет о проведении информационно-коммуникационной кампании.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ромежуточные итоги информационно-коммуникационной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1547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153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отчет о проведении информационно-коммуникационной кампании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45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12.1.2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проведении информационно-коммуникационной кампании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213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12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питания; 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сех целевых аудиторий. Представлен отчет о проведении информационно-коммуникационной кампании.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 промежуточный отчет о подведенных итогах реализации информационно-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кампании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жуточный отчет о проведении информационно- коммуникационной кампании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02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13.1.2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01.04.2020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15.12.2020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проведении информационно-коммуникационной кампании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349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Адаптированы и распространены рекламно-информационные материалы для проведения информационно-коммуникационной кампании с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использованием основных телекоммуникационных каналов для всех целевых аудиторий. 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ая кампания с использованием основных телекоммуникационных каналов для всех целевых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4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737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отчет о проведении информационно-коммуникационной кампании.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722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06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049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жуточный отчет о проведении информационно-коммуникационной кампании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02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14.1.2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проведении информационно-коммуникационной кампании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533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1533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каналов для всех целевых аудиторий. 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аудиторий. Представлен отчет о проведении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464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кампании.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464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Промежуточный отечёт о проведении информационно- коммуникационной кампании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льзованием основных телекоммуникационных каналов для всех целевых аудиторий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602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01.04.2022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15.12.2022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проведении информационно-коммуникационной кампании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й. 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213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12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питания; 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Проведена информационно-коммуникационная кампания с использованием основных телекоммуникационных каналов для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сех целевых аудиторий. Представлен отчет о проведении информационно-коммуникационной кампании.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 промежуточный отчет о подведенных итогах реализации информационно-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71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кампании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промежуточные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жуточный отчет о проведении информационно-коммуникационной кампании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02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16.1.2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15.12.2023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Отчёт о проведении информационно-коммуникационных кампаний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350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Березин Д. Б., министр здравоохранения Республики Коми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</w:rPr>
              <w:t xml:space="preserve"> 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Адаптированы и распространены рекламно-информационные материалы для проведения информационно-коммуникационной кампании с 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использованием основных телекоммуникационных каналов для всех целевых аудиторий. 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вакцинации.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ая кампания с использованием основных телекоммуникационных каналов для всех целевых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737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аудиторий. Представлен отчет о проведении информационно-коммуникационной кампании.</w:t>
            </w: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722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06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048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29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Подведены итоги информационно-коммуникационной кампании для аудитории граждан старше 12 лет по основным каналам: телевидение, радио и в информационно-телекоммуникационной сети "Интернет"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о проведении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Планирование информационно-коммуникационной кампании с использованием основных телекоммуникационных каналов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15.01.2024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План информационно-коммуникационной кампании с испо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льзованием основных телекоммуникационных каналов для всех целевых аудиторий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02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17.1.2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Размещение информационно-коммуникационных материалов в основных телекоммуникационных каналах, включая телевидение, радио и информационно-телекоммуникационную сеть «Интернет» для всех целевых аудиторий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01.04.2024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15.11.2024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проведении информационно-коммуникационных кампаний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149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475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В. Е.,  Главный врач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производства телевизионных и радиопрограмм, телевизионных документальных фильмов, 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правленных на пропаганду здорового образа жизни, физической культуры, спорта и здорового питания, создания в информационно-телекоммуникационной сети «Интернет» тематических Интернет-ресурсов.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182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819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548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533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Размещены в эфире теле- и радиоканалов телевизионные и радиопрограммы, телевизионные документальные фильмы, направленные на пропаганду здорового образа жизни, физической культуры, спорта и здорового питания, созданы в информационно-телекоммуникационной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сети «Интернет» тематические Интернет- ресурсы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Входящее письмо Письмо Управления информационного обеспечения Администрации Главы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808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Управлением информационного обеспечения Администрации Главы Республики Коми оказана государственная поддержка производства телевизионных и радиопрограмм, телевизионных документальных фильмов, направленных на пропаганду здорового образа жизни, физической ку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льтуры, спорта и здорового питания, создания в информационно-телекоммуникационной сети «Интернет» тематических Интернет- ресурсов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Входящее письмо Письмо Управления информационного обеспечения Администрации 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лавы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236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2235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20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периодическим печатным изданиям на реализацию проектов, направленных на пропаганду здорового образа жизни, 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изической культуры, спорта и здорового питания.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2192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6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КТ: В периодических печатных издания реализованы проекты, направленные на пропаганду здорового образа жизни, физической культуры, спорта и здорового питания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Входящее письмо Письмо Управления информационного обеспечения Администрации Главы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229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Управлением информационного обеспечения Администрации Главы Республики Коми оказана государственная поддержка периодическим печатным изданиям на реализацию проектов, направленных на пропаганду здорового образа жизни, физической культуры, спорта и здорового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питания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31.12.2019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Входящее письмо Письмо Управления информационного обеспечения Администрации Главы Республики Коми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688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Внедрены корпоративные программы, содержащие наилучшие практики по укреплению </w:t>
            </w:r>
          </w:p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Кондратьева И. А., Начальник 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&amp;quot" w:eastAsia="&amp;quot" w:hAnsi="&amp;quot" w:cs="&amp;quot"/>
                <w:spacing w:val="-2"/>
                <w:sz w:val="19"/>
                <w:szCs w:val="19"/>
              </w:rPr>
              <w:t xml:space="preserve"> </w:t>
            </w: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82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здоровья работников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Управления организации медицинской помощи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корпоративные программы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 xml:space="preserve"> по укреплению здоровья работников. 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 xml:space="preserve">В субъектах Российской Федерации с организационно-методическим сопровождением НМИЦ профилактической медицины Минздрава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29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7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России с привлечением Фонда социального страхования Российской Федерации будет проведена информационно-разъяснительная работа с работодателями в целях внедрения корпоративных программ по укреплению здоровья работников.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 xml:space="preserve"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</w:t>
            </w: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4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2866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 xml:space="preserve">проведения школ и лекционных занятий по формированию здорового образа жизни, отказа от курения и употребления алкогольных напитков, перехода на здоровое питание. 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Примеры наилучших результатов по проведению корпоративных программ будут опубликованы на сай</w:t>
            </w:r>
            <w:r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</w:rPr>
              <w:t>те Минздрава России, интернет-сайтах органов исполнительной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161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/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286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705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5158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258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43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2866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результата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контроля</w:t>
            </w:r>
          </w:p>
        </w:tc>
      </w:tr>
      <w:tr w:rsidR="00E40F78">
        <w:trPr>
          <w:trHeight w:hRule="exact" w:val="430"/>
        </w:trPr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5158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243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  <w:tc>
          <w:tcPr>
            <w:tcW w:w="186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E40F78"/>
        </w:tc>
      </w:tr>
      <w:tr w:rsidR="00E40F78">
        <w:trPr>
          <w:trHeight w:hRule="exact" w:val="286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E40F78">
        <w:trPr>
          <w:trHeight w:hRule="exact" w:val="401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/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&amp;quot" w:eastAsia="&amp;quot" w:hAnsi="&amp;quot" w:cs="&amp;quot"/>
                <w:spacing w:val="-2"/>
                <w:sz w:val="19"/>
                <w:szCs w:val="19"/>
              </w:rPr>
              <w:t xml:space="preserve"> </w:t>
            </w:r>
          </w:p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</w:tr>
      <w:tr w:rsidR="00E40F78">
        <w:trPr>
          <w:trHeight w:hRule="exact" w:val="1233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КТ: Адаптированы и внедрены корпоративные программы, содержащие наилучшие практики по укреплению здоровья работников на территории Республики Коми.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ПК</w:t>
            </w:r>
          </w:p>
        </w:tc>
      </w:tr>
      <w:tr w:rsidR="00E40F78">
        <w:trPr>
          <w:trHeight w:hRule="exact" w:val="1232"/>
        </w:trPr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20.1.1</w:t>
            </w:r>
          </w:p>
        </w:tc>
        <w:tc>
          <w:tcPr>
            <w:tcW w:w="51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Адаптированы и внедрены корпоративные программы, содержащие наилучшие практики по укреплению здоровья работников на территории Республики Коми.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01.01.2021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15.12.2021</w:t>
            </w:r>
          </w:p>
        </w:tc>
        <w:tc>
          <w:tcPr>
            <w:tcW w:w="243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Е.,  Главный врач</w:t>
            </w:r>
          </w:p>
        </w:tc>
        <w:tc>
          <w:tcPr>
            <w:tcW w:w="286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руководителю проекта</w:t>
            </w:r>
          </w:p>
          <w:p w:rsidR="00E40F78" w:rsidRDefault="00E40F78"/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РРП</w:t>
            </w:r>
          </w:p>
        </w:tc>
      </w:tr>
      <w:tr w:rsidR="00E40F78">
        <w:trPr>
          <w:trHeight w:hRule="exact" w:val="286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92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1920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</w:tr>
      <w:tr w:rsidR="00E40F78">
        <w:trPr>
          <w:trHeight w:hRule="exact" w:val="573"/>
        </w:trPr>
        <w:tc>
          <w:tcPr>
            <w:tcW w:w="11462" w:type="dxa"/>
            <w:gridSpan w:val="29"/>
          </w:tcPr>
          <w:p w:rsidR="00E40F78" w:rsidRDefault="00E40F78"/>
        </w:tc>
        <w:tc>
          <w:tcPr>
            <w:tcW w:w="4156" w:type="dxa"/>
            <w:gridSpan w:val="10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№2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</w:tr>
      <w:tr w:rsidR="00E40F78">
        <w:trPr>
          <w:trHeight w:hRule="exact" w:val="573"/>
        </w:trPr>
        <w:tc>
          <w:tcPr>
            <w:tcW w:w="11462" w:type="dxa"/>
            <w:gridSpan w:val="29"/>
          </w:tcPr>
          <w:p w:rsidR="00E40F78" w:rsidRDefault="00E40F78"/>
        </w:tc>
        <w:tc>
          <w:tcPr>
            <w:tcW w:w="4156" w:type="dxa"/>
            <w:gridSpan w:val="10"/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</w:tr>
      <w:tr w:rsidR="00E40F78">
        <w:trPr>
          <w:trHeight w:hRule="exact" w:val="86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МЕТОДИКА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расчета дополнительных показателей регионального проекта</w:t>
            </w:r>
          </w:p>
        </w:tc>
      </w:tr>
      <w:tr w:rsidR="00E40F78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E40F78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 л 100% спирта</w:t>
            </w:r>
          </w:p>
        </w:tc>
      </w:tr>
      <w:tr w:rsidR="00E40F78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40F78" w:rsidRDefault="00094AD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0F78">
        <w:trPr>
          <w:trHeight w:hRule="exact" w:val="2207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литрах)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Формы федерального статистического обследования №№ П-1, П-5(м), 3-ТОРГ(ПМ), ПМ, МП-микро, 1-ТОРГ, 1-конъюнктура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ПРОМЫШЛЕННОСТИ И ТОРГОВЛИ РОССИЙСКОЙ ФЕДЕРАЦИИ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 раз в 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Vалк – оборот розничной торговли алкогольными напитками в отчетном году;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Vа– оборот розничной торговли алкогольными напитками торгующих организаций в отчетном году;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Vп – оборот розничной торговли пивом и пивными напитками индивидуальных предпринимателей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отчетном году.</w:t>
            </w:r>
          </w:p>
        </w:tc>
      </w:tr>
      <w:tr w:rsidR="00E40F78">
        <w:trPr>
          <w:trHeight w:hRule="exact" w:val="2192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730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</w:tr>
      <w:tr w:rsidR="00E40F78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E40F78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E40F78">
        <w:trPr>
          <w:trHeight w:hRule="exact" w:val="429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Смертность женщин в возрасте  16-54 лет  на 100 тысяч человек</w:t>
            </w:r>
          </w:p>
        </w:tc>
      </w:tr>
      <w:tr w:rsidR="00E40F78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40F78" w:rsidRDefault="00094AD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0F78">
        <w:trPr>
          <w:trHeight w:hRule="exact" w:val="1677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женщин в возрасте 16-54 лет (на 100 тысяч населения) 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mх - Смертность женщин в возрасте 16-54 лет (на 100 тысяс населения) , кг/м2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№1-У "Сведения об умерших".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 15 декабря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Ежегодно 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 – возраст;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mх – коэффициент смертности населения в трудоспособном возрасте (мужчины в возрасте 16-59 лет, женщины – 16-54 года);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Мх – число умерши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 в трудоспособном возрасте;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Sx – среднегодовая численность населения в трудоспособном возрасте.</w:t>
            </w:r>
          </w:p>
        </w:tc>
      </w:tr>
      <w:tr w:rsidR="00E40F78">
        <w:trPr>
          <w:trHeight w:hRule="exact" w:val="1662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905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1906"/>
        </w:trPr>
        <w:tc>
          <w:tcPr>
            <w:tcW w:w="15618" w:type="dxa"/>
            <w:gridSpan w:val="39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</w:tr>
      <w:tr w:rsidR="00E40F78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E40F78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Смертность мужчин в возрасте  16-59 лет  на 100 тысяч человек</w:t>
            </w:r>
          </w:p>
        </w:tc>
      </w:tr>
      <w:tr w:rsidR="00E40F78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40F78" w:rsidRDefault="00094AD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4" name="Picture 3" descr="Image000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0F78">
        <w:trPr>
          <w:trHeight w:hRule="exact" w:val="1676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мужчин в возрасте 16-59 лет (на 100 тысяч населения) 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mх - Смертность мужчин в возрасте 16-59 лет (на 100 тысяч населения) , кг/м2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Данные Росстата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КИРОВСКОЙ ОБЛАСТИ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Один раз в год, показатель на дату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 – возраст;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mх – коэффициент смертности населения в трудоспособном возрасте (мужчины в возрасте 16-59 лет, женщины – 16-54 года);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Мх – число умерших в трудоспособном возрасте;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Sx – среднегодовая численность населения в трудоспособном возрасте.</w:t>
            </w:r>
          </w:p>
        </w:tc>
      </w:tr>
      <w:tr w:rsidR="00E40F78">
        <w:trPr>
          <w:trHeight w:hRule="exact" w:val="1662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сигарет и папирос на душу населения тыс. шт;</w:t>
            </w:r>
          </w:p>
        </w:tc>
      </w:tr>
      <w:tr w:rsidR="00E40F78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40F78" w:rsidRDefault="00094AD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5" name="Picture 4" descr="Image000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0F78">
        <w:trPr>
          <w:trHeight w:hRule="exact" w:val="2364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сигарет и папирос на душу населения (тысяч штук)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- Розничные продажи сигарет и папирос на душу населения (тысяч штук), тыс. шт;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Формы федерального статистического обследования №№ П-1, П-5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ПРОМЫШЛЕННОСТИ И ТОРГОВЛИ РОССИЙСКОЙ ФЕДЕРАЦИИ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РФ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 раз в год</w:t>
            </w:r>
          </w:p>
        </w:tc>
        <w:tc>
          <w:tcPr>
            <w:tcW w:w="3009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объем розничной продажи табачных изделий за отчетный год;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Vтп-1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объем розничной продажи табачных изделий организа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циями всех видов 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</w:tr>
      <w:tr w:rsidR="00E40F78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E40F78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E40F78">
        <w:trPr>
          <w:trHeight w:hRule="exact" w:val="2866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(м), 3-ТОРГ(ПМ), ПМ, МП-микро, 1-ТОРГ, 1-конъюнктура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деятельности, не относящихся к субъектам малого предпринимательства, по данным ф.ф. №№ П-1 и П-5(м) нарастающим итогом за отчетный год;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Vт52/п-1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 xml:space="preserve">– объем розничной продажи табачных изделий организациями с основным видом деятельности «розничная торговля», не относящихся к субъектам малого предпринимательства, по данным ф.ф. №№ П-1 и П-5(м)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нарастающим итогом за отчетный год;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Vт52/1-т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объем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розничной продажи табачных изделий организациями с основным видом деятельности «розничная торговля», не относящихся к субъектам малого предпринимательства, по данным ф. № 1-ТОРГ за отчетный год;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Кср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 xml:space="preserve">– среднегодовой </w:t>
            </w:r>
          </w:p>
        </w:tc>
      </w:tr>
      <w:tr w:rsidR="00E40F78">
        <w:trPr>
          <w:trHeight w:hRule="exact" w:val="285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85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</w:t>
            </w:r>
          </w:p>
        </w:tc>
      </w:tr>
      <w:tr w:rsidR="00E40F78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E40F78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E40F78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 сокрытия по организациям, не относящимся к субъектам малого предпринимательства, осуществляющим розничную торговлю табачными изделиями, по данным  ф. № 1-конъюнктура;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Vт50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объем розничной продажи табачных изделий малыми предприятиями, представивш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ими ф. № 3-ТОРГ(ПМ) нарастающим итогом за отчетный год;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Vпм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 xml:space="preserve">– сумма строк 07 «отгружено товаров собственного производства в порядке розничной торговли» и 09 «продано товаров несобственного производства в порядке розничной торговли» по всем малым предприятиям (распространенные данные) кроме предприятий с кодами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ОКВЭД, входящими в 52 класс, подкласс 50.5 и </w:t>
            </w:r>
          </w:p>
        </w:tc>
      </w:tr>
      <w:tr w:rsidR="00E40F78">
        <w:trPr>
          <w:trHeight w:hRule="exact" w:val="285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852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91</w:t>
            </w:r>
          </w:p>
        </w:tc>
      </w:tr>
      <w:tr w:rsidR="00E40F78">
        <w:trPr>
          <w:trHeight w:hRule="exact" w:val="859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E40F78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E40F78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группы 50.10.2, 50.30.2, 50.40.2, по данным               ф. № ПМ нарастающим итогом за отчетный год;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Wт3-тПМ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удельный вес табачных изделий в общем обороте розничной торговли малых предприятий, паредставивших ф. № 3-ТОРГ(ПМ) нарастающим итогом за отчетный год;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Ксм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среднегодовой процент сокрытия по малым предприятий (за исключением микропредприятий), осуществляющим розничную торговлю табачными изделиями;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Vмикро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оборот розничной торговли пищевыми продуктами, включая напитки, и табачными изделиями по всем торгу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ющим микропредприятиям за отчетный год;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Wт23-тПМ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 xml:space="preserve">– удельный вес табачных изделий в обороте розничной </w:t>
            </w:r>
          </w:p>
        </w:tc>
      </w:tr>
      <w:tr w:rsidR="00E40F78">
        <w:trPr>
          <w:trHeight w:hRule="exact" w:val="2852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85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4"/>
        </w:trPr>
        <w:tc>
          <w:tcPr>
            <w:tcW w:w="15618" w:type="dxa"/>
            <w:gridSpan w:val="39"/>
            <w:tcBorders>
              <w:top w:val="single" w:sz="5" w:space="0" w:color="000000"/>
            </w:tcBorders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bottom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92</w:t>
            </w:r>
          </w:p>
        </w:tc>
      </w:tr>
      <w:tr w:rsidR="00E40F78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E40F78">
        <w:trPr>
          <w:trHeight w:hRule="exact" w:val="286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E40F78">
        <w:trPr>
          <w:trHeight w:hRule="exact" w:val="2866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торговли пищевых продуктов, включая напитки, и табачных изделий малых предприятий, паредставивших  ф. № 3-ТОРГ(ПМ) нарастающим итогом за отчетный год;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среднегодовой процент сокрытия по микропредприятиям, осуществляющим розничную торговлю табачными изделиями. Так как ф. № 1-конъюнктура собирается с квартальной периодичностью, то на микропредприятия она не распространяется, следовательно,  Кмикро =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Vинд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– оборот розничной торговли пищевыми продуктами, включая напитки, и табачными изделиями индивидуальных предпринимателей в отчетном год;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Vтрынк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 xml:space="preserve">– объем розничной продажи </w:t>
            </w:r>
          </w:p>
        </w:tc>
      </w:tr>
      <w:tr w:rsidR="00E40F78">
        <w:trPr>
          <w:trHeight w:hRule="exact" w:val="285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2851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93</w:t>
            </w:r>
          </w:p>
        </w:tc>
      </w:tr>
      <w:tr w:rsidR="00E40F78">
        <w:trPr>
          <w:trHeight w:hRule="exact" w:val="860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E40F78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E40F78">
        <w:trPr>
          <w:trHeight w:hRule="exact" w:val="1232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табачных изделий на рынках по данным                ф. № Б-1 нарастающим итогом за отчетный год.</w:t>
            </w:r>
          </w:p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0F78" w:rsidRDefault="00094AD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Обращаемость в медицинские организации по вопросам здорового образа жизни ТЫС ЧЕЛ</w:t>
            </w:r>
          </w:p>
        </w:tc>
      </w:tr>
      <w:tr w:rsidR="00E40F78">
        <w:trPr>
          <w:trHeight w:hRule="exact" w:val="1003"/>
        </w:trPr>
        <w:tc>
          <w:tcPr>
            <w:tcW w:w="15618" w:type="dxa"/>
            <w:gridSpan w:val="39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40F78" w:rsidRDefault="00094AD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67266" cy="640106"/>
                  <wp:effectExtent l="0" t="0" r="0" b="0"/>
                  <wp:docPr id="6" name="Picture 5" descr="Image000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7266" cy="64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0F78">
        <w:trPr>
          <w:trHeight w:hRule="exact" w:val="2865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Обращаемость в медицинские организации по вопросам здорового образа жизни (тысяч человек)</w:t>
            </w: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No - число обращений  по поводу факторов, влияющих на состояние здоровья населения и обращения в медицинские организации (с профилактической и иными целями), в том числе по поводу проблем, связанных с образом жизни , ТЫС ЧЕЛ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Форма № 12, утвержденная приказ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ом Росстата от 31.07.2018 N 468 «Об утверждении статистического инструментария для организации федерального 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РЕСПУБЛИКИ КОМИ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субъектов РФ</w:t>
            </w: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отчетный период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Ежегодно</w:t>
            </w:r>
          </w:p>
        </w:tc>
        <w:tc>
          <w:tcPr>
            <w:tcW w:w="3009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Формой предусмотрен сбор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о числе обращений 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 поводу факторов, влияющих на состояние здоровья населения 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 обращения 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медицинские организации 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(с профилактической и иными целями), 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том числе по поводу проблем, связанных 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 образом жизни (таблицах 1100, 2100, 3100 и 4100), </w:t>
            </w:r>
          </w:p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соответствии с Международной статистической классификацией болезней и проблем, связанных со здоровьем, Х пересмотра, </w:t>
            </w:r>
          </w:p>
        </w:tc>
      </w:tr>
      <w:tr w:rsidR="00E40F78">
        <w:trPr>
          <w:trHeight w:hRule="exact" w:val="1519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1519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  <w:tr w:rsidR="00E40F78">
        <w:trPr>
          <w:trHeight w:hRule="exact" w:val="430"/>
        </w:trPr>
        <w:tc>
          <w:tcPr>
            <w:tcW w:w="15618" w:type="dxa"/>
            <w:gridSpan w:val="3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94</w:t>
            </w:r>
          </w:p>
        </w:tc>
      </w:tr>
      <w:tr w:rsidR="00E40F78">
        <w:trPr>
          <w:trHeight w:hRule="exact" w:val="859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Методика расчета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Базовые показатели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Источник данных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сбор данных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агрегирования информации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Временные характеристики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Дополнительная информация</w:t>
            </w:r>
          </w:p>
        </w:tc>
      </w:tr>
      <w:tr w:rsidR="00E40F78">
        <w:trPr>
          <w:trHeight w:hRule="exact" w:val="287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43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71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7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0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E40F78">
        <w:trPr>
          <w:trHeight w:hRule="exact" w:val="1547"/>
        </w:trPr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435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статистического наблюдения за ценами и финансами».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7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E40F7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E40F78" w:rsidRDefault="00094AD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утвержденной приказом Минздрава России от 27 мая 1997 г. № 170, «Проблемы, связанные с образом жизни», входят в класс ХХI «Факторы, влияющие на состояние здоровья населения и обращения в учреждения здравоохранения» и имеют самостоятельный код Z72.</w:t>
            </w:r>
          </w:p>
        </w:tc>
      </w:tr>
      <w:tr w:rsidR="00E40F78">
        <w:trPr>
          <w:trHeight w:hRule="exact" w:val="1533"/>
        </w:trPr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2435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17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  <w:tc>
          <w:tcPr>
            <w:tcW w:w="3009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0F78" w:rsidRDefault="00E40F78"/>
        </w:tc>
      </w:tr>
    </w:tbl>
    <w:p w:rsidR="00094ADA" w:rsidRDefault="00094ADA"/>
    <w:sectPr w:rsidR="00094ADA">
      <w:pgSz w:w="16834" w:h="13349" w:orient="landscape"/>
      <w:pgMar w:top="1134" w:right="576" w:bottom="526" w:left="576" w:header="1134" w:footer="52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amp;quo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78"/>
    <w:rsid w:val="00094ADA"/>
    <w:rsid w:val="00674666"/>
    <w:rsid w:val="00E4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F4254-4A98-45CB-895A-523E60CF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16987</Words>
  <Characters>96830</Characters>
  <Application>Microsoft Office Word</Application>
  <DocSecurity>0</DocSecurity>
  <Lines>806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RP_Ukreplenie_obshhestvennogo_zdorov'ya_(Respublika_Komi)</vt:lpstr>
    </vt:vector>
  </TitlesOfParts>
  <Company>Stimulsoft Reports 2019.3.4 from 5 August 2019</Company>
  <LinksUpToDate>false</LinksUpToDate>
  <CharactersWithSpaces>113590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RP_Ukreplenie_obshhestvennogo_zdorov'ya_(Respublika_Komi)</dc:title>
  <dc:subject>RP_Ukreplenie_obshhestvennogo_zdorov'ya_(Respublika_Komi)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2019-11-16T14:42:00Z</dcterms:created>
  <dcterms:modified xsi:type="dcterms:W3CDTF">2019-11-16T14:42:00Z</dcterms:modified>
</cp:coreProperties>
</file>