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73"/>
        <w:gridCol w:w="143"/>
        <w:gridCol w:w="144"/>
        <w:gridCol w:w="143"/>
        <w:gridCol w:w="2866"/>
        <w:gridCol w:w="286"/>
        <w:gridCol w:w="430"/>
        <w:gridCol w:w="860"/>
        <w:gridCol w:w="429"/>
        <w:gridCol w:w="430"/>
        <w:gridCol w:w="144"/>
        <w:gridCol w:w="429"/>
        <w:gridCol w:w="287"/>
        <w:gridCol w:w="287"/>
        <w:gridCol w:w="143"/>
        <w:gridCol w:w="143"/>
        <w:gridCol w:w="573"/>
        <w:gridCol w:w="144"/>
        <w:gridCol w:w="286"/>
        <w:gridCol w:w="573"/>
        <w:gridCol w:w="430"/>
        <w:gridCol w:w="143"/>
        <w:gridCol w:w="573"/>
        <w:gridCol w:w="430"/>
        <w:gridCol w:w="144"/>
        <w:gridCol w:w="143"/>
        <w:gridCol w:w="286"/>
        <w:gridCol w:w="717"/>
        <w:gridCol w:w="143"/>
        <w:gridCol w:w="287"/>
        <w:gridCol w:w="716"/>
        <w:gridCol w:w="430"/>
        <w:gridCol w:w="286"/>
        <w:gridCol w:w="430"/>
        <w:gridCol w:w="1132"/>
        <w:gridCol w:w="15"/>
      </w:tblGrid>
      <w:tr>
        <w:trPr>
          <w:trHeight w:hRule="exact" w:val="1003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387"/>
        </w:trPr>
        <w:tc>
          <w:tcPr>
            <w:tcW w:w="15618" w:type="dxa"/>
            <w:gridSpan w:val="3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 А С П О Р Т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387"/>
        </w:trPr>
        <w:tc>
          <w:tcPr>
            <w:tcW w:w="15618" w:type="dxa"/>
            <w:gridSpan w:val="3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регионального проекта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36"/>
            <w:tcMar>
              <w:left w:w="72" w:type="dxa"/>
              <w:right w:w="72" w:type="dxa"/>
            </w:tcMar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Развитие системы оказания первичной медико-санитарной помощи (Республика Коми)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Основные положения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7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федерального проекта</w:t>
            </w:r>
          </w:p>
        </w:tc>
        <w:tc>
          <w:tcPr>
            <w:tcW w:w="11033" w:type="dxa"/>
            <w:gridSpan w:val="2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Развитие системы оказания первичной медико-санитарной помощи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7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Краткое наименование регионального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проекта</w:t>
            </w:r>
          </w:p>
        </w:tc>
        <w:tc>
          <w:tcPr>
            <w:tcW w:w="4728" w:type="dxa"/>
            <w:gridSpan w:val="1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Развитие первичной медико-санитарной помощи (Республика Коми)</w:t>
            </w:r>
          </w:p>
        </w:tc>
        <w:tc>
          <w:tcPr>
            <w:tcW w:w="3009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начала и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окончания проекта</w:t>
            </w:r>
          </w:p>
        </w:tc>
        <w:tc>
          <w:tcPr>
            <w:tcW w:w="3296" w:type="dxa"/>
            <w:gridSpan w:val="7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01.01.2019 - 31.12.2024</w:t>
            </w:r>
          </w:p>
        </w:tc>
      </w:tr>
      <w:tr>
        <w:trPr>
          <w:trHeight w:hRule="exact" w:val="574"/>
        </w:trPr>
        <w:tc>
          <w:tcPr>
            <w:tcW w:w="4585" w:type="dxa"/>
            <w:gridSpan w:val="7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Куратор регионального проекта</w:t>
            </w:r>
          </w:p>
        </w:tc>
        <w:tc>
          <w:tcPr>
            <w:tcW w:w="11033" w:type="dxa"/>
            <w:gridSpan w:val="2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Михальченкова Наталья Алексеевна, Заместитель Председателя Правительства Республики Коми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7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Руководитель регионального проекта</w:t>
            </w:r>
          </w:p>
        </w:tc>
        <w:tc>
          <w:tcPr>
            <w:tcW w:w="11033" w:type="dxa"/>
            <w:gridSpan w:val="2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Дмитрий Борисович, министр здравоохранения Республики Коми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7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Администратор регионального проекта</w:t>
            </w:r>
          </w:p>
        </w:tc>
        <w:tc>
          <w:tcPr>
            <w:tcW w:w="11033" w:type="dxa"/>
            <w:gridSpan w:val="2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Совершаева Мария Антоновна, Заместитель министра здравоохранения Республики Коми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7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Связь с государственными программами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субъекта Российской Федерации</w:t>
            </w:r>
          </w:p>
        </w:tc>
        <w:tc>
          <w:tcPr>
            <w:tcW w:w="11033" w:type="dxa"/>
            <w:gridSpan w:val="2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Государственная программа Республики Коми "Развитие здравоохранения", Государственная программа Республики Коми "Развитие здравоохранения"</w:t>
            </w:r>
          </w:p>
        </w:tc>
      </w:tr>
      <w:tr>
        <w:trPr>
          <w:trHeight w:hRule="exact" w:val="2493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2493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3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2. Цель и показатели регионального проекта</w:t>
            </w:r>
          </w:p>
        </w:tc>
      </w:tr>
      <w:tr>
        <w:trPr>
          <w:trHeight w:hRule="exact" w:val="1504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Обеспечение оптимальной доступности для населения (в том числе для жителей населенных пунктов, расположенных в отдаленных местностях) медицинских организаций, оказывающих первичную медико-санитарную помощь; обеспечение охвата всех граждан профилактическими медицинскими осмотрами не реже одного раза в год;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процедуры записи на прием к врачу; формирование системы защиты прав пациентов (Республика Коми)</w:t>
            </w:r>
          </w:p>
        </w:tc>
      </w:tr>
      <w:tr>
        <w:trPr>
          <w:trHeight w:hRule="exact" w:val="430"/>
        </w:trPr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012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показателя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показателя</w:t>
            </w:r>
          </w:p>
        </w:tc>
        <w:tc>
          <w:tcPr>
            <w:tcW w:w="2292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6878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</w:tr>
      <w:tr>
        <w:trPr>
          <w:trHeight w:hRule="exact" w:val="430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14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1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14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14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14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14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012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14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1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14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14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14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14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</w:tr>
      <w:tr>
        <w:trPr>
          <w:trHeight w:hRule="exact" w:val="444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Отсутствует показатель федерального проекта</w:t>
            </w:r>
          </w:p>
        </w:tc>
      </w:tr>
      <w:tr>
        <w:trPr>
          <w:trHeight w:hRule="exact" w:val="716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1.10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Общая смертность населения на 1000 населения, ПРОМИЛЛЕ</w:t>
            </w:r>
          </w:p>
        </w:tc>
        <w:tc>
          <w:tcPr>
            <w:tcW w:w="186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Дополнительный показатель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11,8000</w:t>
            </w:r>
          </w:p>
        </w:tc>
        <w:tc>
          <w:tcPr>
            <w:tcW w:w="128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11,7000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11,5000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11,5000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11,3000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11,0000</w:t>
            </w:r>
          </w:p>
        </w:tc>
        <w:tc>
          <w:tcPr>
            <w:tcW w:w="114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10,7000</w:t>
            </w:r>
          </w:p>
        </w:tc>
      </w:tr>
      <w:tr>
        <w:trPr>
          <w:trHeight w:hRule="exact" w:val="444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граждан, прошедших профилактические осмотры</w:t>
            </w:r>
          </w:p>
        </w:tc>
      </w:tr>
      <w:tr>
        <w:trPr>
          <w:trHeight w:hRule="exact" w:val="975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граждан, прошедших профилактические осмотры, МЛН ЧЕЛ</w:t>
            </w:r>
          </w:p>
        </w:tc>
        <w:tc>
          <w:tcPr>
            <w:tcW w:w="186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0,3600</w:t>
            </w:r>
          </w:p>
        </w:tc>
        <w:tc>
          <w:tcPr>
            <w:tcW w:w="128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0,3610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0,3780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0,3900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0,4310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0,4770</w:t>
            </w:r>
          </w:p>
        </w:tc>
        <w:tc>
          <w:tcPr>
            <w:tcW w:w="114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0,5550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неинфекционных заболеваний, выявленных при проведении диспансеризации и профилактическом медицинском осмотре</w:t>
            </w:r>
          </w:p>
        </w:tc>
      </w:tr>
      <w:tr>
        <w:trPr>
          <w:trHeight w:hRule="exact" w:val="1762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неинфекционных заболеваний, выявленных при проведении диспансеризации и профилактическом медицинском осмотре, ПРОЦ</w:t>
            </w:r>
          </w:p>
        </w:tc>
        <w:tc>
          <w:tcPr>
            <w:tcW w:w="186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13,4000</w:t>
            </w:r>
          </w:p>
        </w:tc>
        <w:tc>
          <w:tcPr>
            <w:tcW w:w="128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14,5000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15,6000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16,7000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17,8000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18,9000</w:t>
            </w:r>
          </w:p>
        </w:tc>
        <w:tc>
          <w:tcPr>
            <w:tcW w:w="114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245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</w:tr>
      <w:tr>
        <w:trPr>
          <w:trHeight w:hRule="exact" w:val="1763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</w:t>
            </w:r>
          </w:p>
        </w:tc>
        <w:tc>
          <w:tcPr>
            <w:tcW w:w="186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37,0000</w:t>
            </w:r>
          </w:p>
        </w:tc>
        <w:tc>
          <w:tcPr>
            <w:tcW w:w="114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39,0000</w:t>
            </w:r>
          </w:p>
        </w:tc>
      </w:tr>
      <w:tr>
        <w:trPr>
          <w:trHeight w:hRule="exact" w:val="444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записей к врачу, совершенных гражданами без очного обращения в регистратуру медицинской организации</w:t>
            </w:r>
          </w:p>
        </w:tc>
      </w:tr>
      <w:tr>
        <w:trPr>
          <w:trHeight w:hRule="exact" w:val="1247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записей к врачу, совершенных гражданами без очного обращения в регистратуру медицинской организации, ПРОЦ</w:t>
            </w:r>
          </w:p>
        </w:tc>
        <w:tc>
          <w:tcPr>
            <w:tcW w:w="186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37,0000</w:t>
            </w:r>
          </w:p>
        </w:tc>
        <w:tc>
          <w:tcPr>
            <w:tcW w:w="128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31.10.2018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51,0000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56,0000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14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65,0000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обоснованных жалоб (от общего количества поступивших жалоб), урегулированных в досудебном порядке страховыми медицинскими организациями</w:t>
            </w:r>
          </w:p>
        </w:tc>
      </w:tr>
      <w:tr>
        <w:trPr>
          <w:trHeight w:hRule="exact" w:val="1762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обоснованных жалоб (от общего количества поступивших жалоб), урегулированных в досудебном порядке страховыми медицинскими организациями, ПРОЦ</w:t>
            </w:r>
          </w:p>
        </w:tc>
        <w:tc>
          <w:tcPr>
            <w:tcW w:w="186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8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53,0000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57,0000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61,5000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65,5000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69,5000</w:t>
            </w:r>
          </w:p>
        </w:tc>
        <w:tc>
          <w:tcPr>
            <w:tcW w:w="114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73,5000</w:t>
            </w:r>
          </w:p>
        </w:tc>
      </w:tr>
      <w:tr>
        <w:trPr>
          <w:trHeight w:hRule="exact" w:val="203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2034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</w:t>
            </w:r>
          </w:p>
        </w:tc>
      </w:tr>
      <w:tr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</w:t>
            </w:r>
          </w:p>
        </w:tc>
        <w:tc>
          <w:tcPr>
            <w:tcW w:w="4012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ПРОЦ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3,6000</w:t>
            </w:r>
          </w:p>
        </w:tc>
        <w:tc>
          <w:tcPr>
            <w:tcW w:w="11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21,8000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32,7000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45,5000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50,9000</w:t>
            </w:r>
          </w:p>
        </w:tc>
      </w:tr>
      <w:tr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44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</w:tr>
      <w:tr>
        <w:trPr>
          <w:trHeight w:hRule="exact" w:val="1247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1.9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лиц (пациентов), дополнительно эвакуированных с использованием санитарной авиации (ежегодно, человек) не менее, ЧЕЛ</w:t>
            </w:r>
          </w:p>
        </w:tc>
        <w:tc>
          <w:tcPr>
            <w:tcW w:w="186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121,0000</w:t>
            </w:r>
          </w:p>
        </w:tc>
        <w:tc>
          <w:tcPr>
            <w:tcW w:w="128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162,0000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151,0000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177,0000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196,0000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215,0000</w:t>
            </w:r>
          </w:p>
        </w:tc>
        <w:tc>
          <w:tcPr>
            <w:tcW w:w="114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233,0000</w:t>
            </w:r>
          </w:p>
        </w:tc>
      </w:tr>
      <w:tr>
        <w:trPr>
          <w:trHeight w:hRule="exact" w:val="444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посещений при выездах мобильных медицинских бригад</w:t>
            </w:r>
          </w:p>
        </w:tc>
      </w:tr>
      <w:tr>
        <w:trPr>
          <w:trHeight w:hRule="exact" w:val="974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1.7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посещений при выездах мобильных медицинских бригад, Тысяча посещений</w:t>
            </w:r>
          </w:p>
        </w:tc>
        <w:tc>
          <w:tcPr>
            <w:tcW w:w="186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7,2000</w:t>
            </w:r>
          </w:p>
        </w:tc>
        <w:tc>
          <w:tcPr>
            <w:tcW w:w="128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9,4000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9,4000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60,1000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60,1000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60,1000</w:t>
            </w:r>
          </w:p>
        </w:tc>
        <w:tc>
          <w:tcPr>
            <w:tcW w:w="114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60,1000</w:t>
            </w:r>
          </w:p>
        </w:tc>
      </w:tr>
      <w:tr>
        <w:trPr>
          <w:trHeight w:hRule="exact" w:val="444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</w:tr>
      <w:tr>
        <w:trPr>
          <w:trHeight w:hRule="exact" w:val="1505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1.8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лиц, госпитализированных по экстренным показаниям в течение первых суток от общего числа больных, к которым совершены вылеты, ПРОЦ</w:t>
            </w:r>
          </w:p>
        </w:tc>
        <w:tc>
          <w:tcPr>
            <w:tcW w:w="186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83,5000</w:t>
            </w:r>
          </w:p>
        </w:tc>
        <w:tc>
          <w:tcPr>
            <w:tcW w:w="128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31.12.2017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14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1332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3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3. Результаты регионального проекта</w:t>
            </w:r>
          </w:p>
        </w:tc>
      </w:tr>
      <w:tr>
        <w:trPr>
          <w:trHeight w:hRule="exact" w:val="2866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2865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2207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2206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124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Задача национального проекта (справочно из паспорта федерального проекта): Завершение формирования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строительства врачебных амбулаторий, фельдшерских и фельдшерско-акушерских пунктов в населенных пунктах с численностью населения от 100 человек до 2 тыс. человек, а также с учетом использования мобильных медицинских комплексов в населенных пунктах с численностью населения менее 100 человек 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902" w:type="dxa"/>
            <w:gridSpan w:val="3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Созданы/заменены более 1550 новых фельдшерских, фельдшерско-акушерских пунктов, врачебных амбулаторий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Noto Sans, sans-serif" w:hAnsi="Noto Sans, sans-serif" w:eastAsia="Noto Sans, sans-serif" w:cs="Noto Sans, sans-serif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Органами исполнительной власти субъектов Российской Федерации в течение 2019 года: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 счет средств региональных бюджетов будут подготовлены участки для создания или замены фельдшерских, фельдшерско-акушерских пунктов, врачебных амбулаторий и подведены коммуникации, проведены мероприятия по обеспечению фельдшерских, фельдшерско-акушерских пунктов и врачебных амбулаторий медицинским персоналом;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будут проведены конкурсные процедуры и заключены государственные контракты для создания более 350 фельдшерских, фельдшерско-акушерских пунктов, врачебных амбулаторий;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будут осуществлены мероприятия к получению лицензии на осуществление медицинской деятельности.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Органами исполнительной власти субъектов Российской Федерации в первой половине 2020 года будут: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 счет средств региональных бюджетов подготовлены участки для создания фельдшерских, фельдшерско-акушерских пунктов, врачебных амбулаторий и подведены коммуникации, проведены мероприятия по обеспечению фельдшерских, фельдшерско-акушерских пунктов и врачебных амбулаторий медицинским персоналом;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проведены конкурсные процедуры и заключены государственные контракты для замены более 1 200 фельдшерских, фельдшерско-акушерских пунктов, врачебных амбулаторий.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Созданные фельдшерские, фельдшерско-акушерские пункты, врачебные амбулатории будут подготовлены к получению лицензии на осуществление медицинской деятельности.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31.12.2020</w:t>
            </w:r>
          </w:p>
          <w:p/>
        </w:tc>
      </w:tr>
      <w:tr>
        <w:trPr>
          <w:trHeight w:hRule="exact" w:val="20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859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Органами исполнительной власти Республики Коми в первой половине 2020 года будут: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 счет средств республиканского бюджета Республики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Коми подготовлены участки для создания фельдшерско-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53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tcMar>
              <w:top w:w="72" w:type="dxa"/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31.12.2020 - 6 шт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2550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021" w:type="dxa"/>
            <w:gridSpan w:val="14"/>
            <w:tcMar>
              <w:top w:w="72" w:type="dxa"/>
              <w:left w:w="287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6305" w:type="dxa"/>
            <w:gridSpan w:val="1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акушерских пунктов и подведены коммуникации,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проведены мероприятия по обеспечению фельдшерско-акушерских пунктов медицинским персоналом;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проведены конкурсные процедуры и заключены государственные контракты для замены более 5 фельдшерско-акушерских пунктов.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Созданные фельдшерско-акушерские пункты будут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подготовлены к получению лицензии на осуществление медицинской деятельности.</w:t>
            </w:r>
          </w:p>
          <w:p/>
        </w:tc>
      </w:tr>
      <w:tr>
        <w:trPr>
          <w:trHeight w:hRule="exact" w:val="2551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902" w:type="dxa"/>
            <w:gridSpan w:val="3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Органы исполнительной власти субъектов Российской Федерации обеспечат в 2019 году принятие в соответствии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 положениями Градостроительного кодекса Российской Федерации нормативных правовых актов субъектов Российской Федерации об утверждении схем территориального планирования субъектов Российской Федерации,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31.12.2020</w:t>
            </w:r>
          </w:p>
          <w:p/>
        </w:tc>
      </w:tr>
      <w:tr>
        <w:trPr>
          <w:trHeight w:hRule="exact" w:val="1389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/>
        </w:tc>
      </w:tr>
      <w:tr>
        <w:trPr>
          <w:trHeight w:hRule="exact" w:val="116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tcMar>
              <w:top w:w="72" w:type="dxa"/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31.12.2020 - 1 ЕД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5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2421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902" w:type="dxa"/>
            <w:gridSpan w:val="3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Noto Sans, sans-serif" w:hAnsi="Noto Sans, sans-serif" w:eastAsia="Noto Sans, sans-serif" w:cs="Noto Sans, sans-serif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Органами исполнительной власти субъектов Российской Федерации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будут определены источники финансирования (за счет средств бюджетов субъектов Российской Федерации, или с использованием механизмов государственно-частного партнерства, или с привлечением средств инвесторов), при необходимости будут приняты нормативные правовые акты субъектов Российской Федерации.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Также в 2019 году и в первой половине 2020 года будет 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на строительство/реконструкцию).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 конца 2020 года будут выполнены работы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 строительству/реконструкции вертолетных площадок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или развертыванию сборно-разборных мобильных посадочных комплексов.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31.12.2020</w:t>
            </w:r>
          </w:p>
          <w:p/>
        </w:tc>
      </w:tr>
      <w:tr>
        <w:trPr>
          <w:trHeight w:hRule="exact" w:val="240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9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2579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1118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будут определены источники финансирования (за счет средств бюджетов субъектов Российской Федерации,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или с использованием механизмов государственно-частного партнерства, или с привлечением средств инвесторов), при необходимости будут приняты нормативные правовые акты Республики Коми.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Также в 2019 году и в первой половине 2020 года будет 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на строительство/реконструкцию).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 конца 2020 года будут выполнены работы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 строительству/реконструкции вертолетных площадок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или развертыванию сборно-разборных мобильных посадочных комплексов.</w:t>
            </w:r>
          </w:p>
          <w:p/>
        </w:tc>
      </w:tr>
      <w:tr>
        <w:trPr>
          <w:trHeight w:hRule="exact" w:val="252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 w:val="restart"/>
            <w:tcMar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31.12.2020 - 1 шт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08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3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92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1619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902" w:type="dxa"/>
            <w:gridSpan w:val="3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Noto Sans, sans-serif" w:hAnsi="Noto Sans, sans-serif" w:eastAsia="Noto Sans, sans-serif" w:cs="Noto Sans, sans-serif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Органы исполнительной власти субъектов Российской Федерации обеспечат получение лицензий на осуществление медицинской деятельности созданными в 2020 году фельдшерскими, фельдшерско-акушерскими пунктами, врачебными амбулаториями.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созданных в 2020 году фельдшерских, фельдшерско-акушерских пунктах, врачебных амбулаториях будет начато оказание медицинской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31.12.2021</w:t>
            </w:r>
          </w:p>
          <w:p/>
        </w:tc>
      </w:tr>
      <w:tr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860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Республики Коми обеспечено получение лицензий на осуществление медицинской деятельности созданными в 2020 году фельдшерскими, фельдшерско-акушерскими пунктами, врачебными амбулаториями. Комиссией по разработке территориальной программы обязательного медицинского страхования будут предоставлены на 2020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созданных в 2020 году фельдшерских, фельдшерско-акушерских пунктах, врачебных амбулаториях будет начато оказание медицинской помощи.</w:t>
            </w:r>
          </w:p>
          <w:p/>
        </w:tc>
      </w:tr>
      <w:tr>
        <w:trPr>
          <w:trHeight w:hRule="exact" w:val="275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tcMar>
              <w:top w:w="72" w:type="dxa"/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31.12.2021 - 6 шт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9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576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160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902" w:type="dxa"/>
            <w:gridSpan w:val="3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Функционируют более 500 мобильных медицинских комплексов, приобретенных в 2020 году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Noto Sans, sans-serif" w:hAnsi="Noto Sans, sans-serif" w:eastAsia="Noto Sans, sans-serif" w:cs="Noto Sans, sans-serif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23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населенных пунктах до 100 человек.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Органами исполнительной власти субъектов Российской Федерации будет обеспечено выполнение утвержденных планов-графиков работы.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31.12.2021</w:t>
            </w:r>
          </w:p>
          <w:p/>
        </w:tc>
      </w:tr>
      <w:tr>
        <w:trPr>
          <w:trHeight w:hRule="exact" w:val="159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860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Функционируют более 500 мобильных медицинских комплексов, приобретенных в 2020 году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в первом квартале 2021 года будут разработаны и утверждены планы-графики работы передвижных медицинских комплексов, в том числе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населенных пунктах до 100 человек.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республики Коми будет обеспечено выполнение утвержденных планов-графиков работы.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1662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 w:val="restart"/>
            <w:tcMar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31.12.2021 - 23 шт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62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622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2680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902" w:type="dxa"/>
            <w:gridSpan w:val="3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Приобретено более 1300 мобильных медицинских комплексов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Noto Sans, sans-serif" w:hAnsi="Noto Sans, sans-serif" w:eastAsia="Noto Sans, sans-serif" w:cs="Noto Sans, sans-serif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Органами государственной власти 34 субъектов Российской Федерации в течение первого полугодия 2019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 и профилактических осмотров, будут проведены конкурсные процедуры и заключены договоры на поставку передвижных медицинских комплексов.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Приобретенные передвижные медицинские комплексы,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 конца 2019 года будут переданы в медицинские организации.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Органами государственной власти 23 субъектов Российской Федерации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Приобретенные передвижные медицинские комплексы до конца 2020 года будут переданы в медицинские организации.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Органами государственной власти 24 субъектов Российской Федерации в первой половине 2021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 и профилактических осмотров, заключены договоры на поставку передвижных медицинских комплексов.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Приобретенные передвижные медицинские комплексы до конца 2021 года будут переданы в медицинские организации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31.12.2021</w:t>
            </w:r>
          </w:p>
          <w:p/>
        </w:tc>
      </w:tr>
      <w:tr>
        <w:trPr>
          <w:trHeight w:hRule="exact" w:val="26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859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Приобретено более 1300 мобильных медицинских комплексов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Республики Коми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Приобретенные передвижные медицинские комплексы до конца 2020 года будут переданы в медицинские организации Республики Коми.</w:t>
            </w:r>
          </w:p>
          <w:p/>
        </w:tc>
      </w:tr>
      <w:tr>
        <w:trPr>
          <w:trHeight w:hRule="exact" w:val="2379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tcMar>
              <w:top w:w="72" w:type="dxa"/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31.12.2020 - 23 шт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18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2551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902" w:type="dxa"/>
            <w:gridSpan w:val="3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Созданы региональные системы диспетчеризации скорой медицинской помощи, в рамках решения задачи 1.4 федерального проекта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Noto Sans, sans-serif" w:hAnsi="Noto Sans, sans-serif" w:eastAsia="Noto Sans, sans-serif" w:cs="Noto Sans, sans-serif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 всех субъектах Российской Федерации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диспетчеризации, позволяющих автоматизировать процессы приема и распределения вызовов.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Достижение указанных результатов обеспечивается в рамках решения задачи 1.4. федерального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31.12.2021</w:t>
            </w:r>
          </w:p>
          <w:p/>
        </w:tc>
      </w:tr>
      <w:tr>
        <w:trPr>
          <w:trHeight w:hRule="exact" w:val="859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 региональные системы диспетчеризации скорой медицинской помощи***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диспетчеризации, позволяющих автоматизировать процессы приема и распределения вызовов.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Достижение указанных результатов обеспечивается в рамках решения задачи 3.1.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265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tcMar>
              <w:top w:w="72" w:type="dxa"/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31.12.2021 - 1 ЕД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77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963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2393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902" w:type="dxa"/>
            <w:gridSpan w:val="3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России разработана типовая стратегия развития санитарной авиации.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На основании типовой стратегии субъектами Российской Федерации, участвующими в реализации мероприятий, разработаны и утверждены региональные стратегии развития санитарной авиации на период до 2024 года.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Субъектами Российской Федерации, участвующими в реализации мероприятия, в период с 2019 по 2024 годы будут заключены государственные контракты на закупку авиационных работ в целях оказания медицинской помощи, что позволит в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ыполнить за 2019 год дополнительно не менее чем 7 500 вылетов и эвакуировать не менее 9 800 пациентов, нуждающихся в оказании скорой специализированной помощи, в 2020 году выполнить 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дополнительно не менее чем 8 500 вылетов и эвакуировать не менее 10 600 пациентов, в 2021 году в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ыполнить дополнительно не менее чем 9 500 вылетов и эвакуировать не менее 11 700 пациентов, в 2022 году выполнить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 дополнительно не менее чем 10 500 вылетов и эвакуировать не менее 13 000 пациентов, в 2023 году 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выполнить дополнительно не менее чем 11 500 вылетов и эвакуировать не менее 14 200 пациентов, а 2024 году в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ыполнить дополнительно не менее чем 12 500 вылетов и эвакуировать не менее 15 500 пациентов.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31.12.2024</w:t>
            </w:r>
          </w:p>
          <w:p/>
        </w:tc>
      </w:tr>
      <w:tr>
        <w:trPr>
          <w:trHeight w:hRule="exact" w:val="23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859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На основании типовой стратегии разработанной Минздравом России, Правительством Республики Коми будут разработана и утверждена региональная стратегия развития санитарной авиации на период до 2024 года.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Республики Коми, будет заключен государственный контракт на закупку авиационных работ в целях оказания медицинской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2020 год дополнительно не менее чем 109 вылетов позволят дополнительно эвакуировать в 2020 году не менее 151 пациента,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1978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 w:val="restart"/>
            <w:tcMar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31.12.2019 - 117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31.12.2020 - 109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31.12.2021 - 128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31.12.2022 - 142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31.12.2023 - 156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31.12.2024 - 169 ЕД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62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4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253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7021" w:type="dxa"/>
            <w:gridSpan w:val="14"/>
            <w:vMerge w:val="restart"/>
            <w:tcMar>
              <w:left w:w="287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2021 год дополнительно не менее чем 128 вылетов позволят дополнительно эвакуировать в 2021 году не менее 177 пациента,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2022 год дополнительно не менее чем 142 вылетов позволят дополнительно эвакуировать в 2022 году не менее 196 пациентов,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2023 год дополнительно не менее чем 156 вылетов позволят дополнительно эвакуировать в 2023 году не менее 215 пациентов,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2024 год дополнительно не менее чем 169 вылетов позволят дополнительно эвакуировать в 2024 году не менее 233 пациентов,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/>
        </w:tc>
      </w:tr>
      <w:tr>
        <w:trPr>
          <w:trHeight w:hRule="exact" w:val="2522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78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2465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974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Задача национального проекта (справочно из паспорта федерального проекта):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процедуры записи на прием к врачу 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1934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902" w:type="dxa"/>
            <w:gridSpan w:val="3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Noto Sans, sans-serif" w:hAnsi="Noto Sans, sans-serif" w:eastAsia="Noto Sans, sans-serif" w:cs="Noto Sans, sans-serif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85 субъектах Российской Федерации в первом квартале 2019 года будут приняты нормативные правовые акты, регламентирующие создание региональных проектных офисов.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Субъектами Российской Федерации будут созданы региональные проектные офисы, на которые нормативными правовыми актами будут возложены функции по методической поддержке и координации работы медицинских организаций, образовательных организаций, территориальных фондов ОМС, территориальных органов Росздравнадзора по проведению анализа организации первичной медико-санитарной помощи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субъектах Российской Федерации, участвовать в разработке мер по устранению типовых проблем в медицинских организациях – участниках проекта, организации апробации принципов бережливого производства, создании «Новой модели медицинской организации», осуществлять сбор информации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 медицинских организаций, участвующих в проекте,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для представления в ЦПМСП, обеспечивать тиражирование лучших практик в границах субъекта Российской Федерации.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30.05.2019</w:t>
            </w:r>
          </w:p>
          <w:p/>
        </w:tc>
      </w:tr>
      <w:tr>
        <w:trPr>
          <w:trHeight w:hRule="exact" w:val="19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79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2579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1390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15.05.2019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будут приняты нормативные правовые акты, регламентирующие создание региональных проектных офисов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 созданию и внедрению «Новой модели медицинской организации, оказывающей первичную медико-санитарную помощь»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будет создан региональные проектный офис, на который нормативными правовыми актами будут возложены функции по методической поддержке и координации работы медицинских организаций, образовательных организаций, территориальных фондов ОМС по проведению анализа организации первичной медико-санитарной помощи в Республике Коми, участвовать в разработке мер по устранению типовых проблем в медицинских организациях – участниках проекта, организации апробации принципов бережливого производства, создании «Новой модели медицинской организации», осуществлять сбор информации от медицинских организаций, участвующих в проекте,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для представления в ЦПМСП, обеспечивать тиражирование лучших практик в границах субъекта Российской Федерации.</w:t>
            </w:r>
          </w:p>
          <w:p/>
        </w:tc>
      </w:tr>
      <w:tr>
        <w:trPr>
          <w:trHeight w:hRule="exact" w:val="2378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 w:val="restart"/>
            <w:tcMar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15.05.2019 - 1 ЕД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78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3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92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1991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902" w:type="dxa"/>
            <w:gridSpan w:val="3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Noto Sans, sans-serif" w:hAnsi="Noto Sans, sans-serif" w:eastAsia="Noto Sans, sans-serif" w:cs="Noto Sans, sans-serif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85 субъектах Российской Федерации будут утверждены перечни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 на основании описания, разработанного ЦПМСП.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 методической поддержке ЦПСМП в медицинских организациях будут проведены мероприятия по внедрению «Новая модель медицинской организации, оказывающей первичную медико-санитарную помощь».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Сведения о реализованных проектах будут представлены органами исполнительной власти субъектов Российской Федерации в Минздрав России.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ЦПМСП на основании представленной информации проведет доработку критериев «Новой модели медицинской организации, оказывающей первичную медико-санитарную помощь».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31.12.2024</w:t>
            </w:r>
          </w:p>
          <w:p/>
        </w:tc>
      </w:tr>
      <w:tr>
        <w:trPr>
          <w:trHeight w:hRule="exact" w:val="199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90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55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,0 %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медицинских организаций, оказывающих данный вид помощи</w:t>
            </w:r>
          </w:p>
          <w:p/>
        </w:tc>
      </w:tr>
      <w:tr>
        <w:trPr>
          <w:trHeight w:hRule="exact" w:val="179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tcMar>
              <w:top w:w="72" w:type="dxa"/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31.12.2019 - 23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31.12.2020 - 34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31.12.2021 - 41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31.12.2022 - 46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31.12.2023 - 52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31.12.2024 - 55 ПРОЦ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51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Задача национального проекта (справочно из паспорта федерального проекта): Формирование системы защиты прав пациентов 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1762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902" w:type="dxa"/>
            <w:gridSpan w:val="3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федерального проекта (справочно из паспорта федерального проекта): 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Страховые медицинские организации проинформируют застрахованных лиц старше 18 лет о праве на прохождение профилактического медицинского осмотра. Будет обеспечен охват граждан профилактическими медицинскими осмотрами.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Срок (справочно из паспорта федерального проекта): 31.12.2024</w:t>
            </w:r>
          </w:p>
          <w:p/>
        </w:tc>
      </w:tr>
      <w:tr>
        <w:trPr>
          <w:trHeight w:hRule="exact" w:val="1118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соответствии с регламентом с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траховые медицинские организации Республики Коми проинформируют в 2019 году 44,8 %, в 2020 году 49,0%, в 2021 году 66,8 %, в 2022 году 76,7 %, в 2023 году 90,8 %, в 2024 году 100 % застрахованных лиц старше 18 лет о праве на прохождение профилактического медицинского осмотра. Обеспечен охват граждан профилактическими медицинскими осмотрами: в 2019 году не менее 44,0 %, в 2020 году не менее 48,2 %,  в 2021 году не менее 53,4 %, в 2022 году не менее 59,6 %, в 2023 году не менее 65,0 %, в 2024 году не менее 70,0 %.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 w:val="restart"/>
            <w:tcMar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31.12.2019 - 44.8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31.12.2020 - 49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31.12.2021 - 66.8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31.12.2022 - 76.7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31.12.2023 - 90.8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31.12.2024 - 100 ПРОЦ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9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47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648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7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902" w:type="dxa"/>
            <w:gridSpan w:val="3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Собственные результаты</w:t>
            </w:r>
          </w:p>
          <w:p/>
        </w:tc>
      </w:tr>
      <w:tr>
        <w:trPr>
          <w:trHeight w:hRule="exact" w:val="1390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</w:t>
            </w:r>
          </w:p>
        </w:tc>
        <w:tc>
          <w:tcPr>
            <w:tcW w:w="7021" w:type="dxa"/>
            <w:gridSpan w:val="1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основании описания, разработанного ЦПМСП.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продолжены.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/>
        </w:tc>
      </w:tr>
      <w:tr>
        <w:trPr>
          <w:trHeight w:hRule="exact" w:val="146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 w:val="restart"/>
            <w:tcMar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31.12.2019 - 23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31.12.2020 - 34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31.12.2021 - 41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31.12.2022 - 46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31.12.2023 - 52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31.12.2024 - 55 ПРОЦ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47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49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848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7021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6305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1519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2.2</w:t>
            </w:r>
          </w:p>
        </w:tc>
        <w:tc>
          <w:tcPr>
            <w:tcW w:w="7021" w:type="dxa"/>
            <w:gridSpan w:val="1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Территориальным фондом обязательного медицинского страхования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Российской Федерации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 при нарушении прав застрахованных лиц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6305" w:type="dxa"/>
            <w:gridSpan w:val="1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целях оценки условий пребывания пациентов в медицинских организациях, предотвращения рисков взимания платы за гарантированную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– 3,6 % в 2019 году, 21,8 % в 2020 году, 32,7 % в 2021 году, 40,0 % в 2022 году, 45,5 % в 2023 году, 50,9 % в 2024 году.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Страховыми медицинскими организациями Республики Коми в 2019 –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помощи. Будут урегулированы страховыми медицинскими организациями Республики Коми в досудебном порядке 53,0 % в 2019 году, 57,0% в 2020 году, 61,5% в 2021 году, 65,5% в 2022 году, 69,5% в 2023 году, 73,5% в 2024 году обоснованных жалоб пациентов от общего количества поступивших жалоб.</w:t>
            </w:r>
          </w:p>
          <w:p/>
        </w:tc>
      </w:tr>
      <w:tr>
        <w:trPr>
          <w:trHeight w:hRule="exact" w:val="1504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77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 w:val="restart"/>
            <w:tcMar>
              <w:left w:w="287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31.12.2021 - 1 -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77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021" w:type="dxa"/>
            <w:gridSpan w:val="14"/>
            <w:vMerge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19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605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758" w:type="dxa"/>
            <w:gridSpan w:val="33"/>
            <w:vAlign w:val="center"/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4. Финансовое обеспечение реализации регионального проекта</w:t>
            </w:r>
          </w:p>
          <w:p/>
        </w:tc>
      </w:tr>
      <w:tr>
        <w:trPr>
          <w:trHeight w:hRule="exact" w:val="430"/>
        </w:trPr>
        <w:tc>
          <w:tcPr>
            <w:tcW w:w="100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442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(млн. рублей)</w:t>
            </w:r>
          </w:p>
        </w:tc>
      </w:tr>
      <w:tr>
        <w:trPr>
          <w:trHeight w:hRule="exact" w:val="286"/>
        </w:trPr>
        <w:tc>
          <w:tcPr>
            <w:tcW w:w="100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442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577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44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57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430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1</w:t>
            </w:r>
          </w:p>
          <w:p/>
        </w:tc>
        <w:tc>
          <w:tcPr>
            <w:tcW w:w="14615" w:type="dxa"/>
            <w:gridSpan w:val="3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Результат федерального проекта (справочно из паспорта федерального проекта): 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203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35,20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65,20</w:t>
            </w:r>
          </w:p>
        </w:tc>
      </w:tr>
      <w:tr>
        <w:trPr>
          <w:trHeight w:hRule="exact" w:val="71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124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1.1.2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1.1.3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35,20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65,20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1.1.3.1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 субъекта Российской Федерации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35,20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65,20</w:t>
            </w:r>
          </w:p>
        </w:tc>
      </w:tr>
      <w:tr>
        <w:trPr>
          <w:trHeight w:hRule="exact" w:val="97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1.1.3.2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1.1.3.3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1.1.4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2</w:t>
            </w:r>
          </w:p>
          <w:p/>
        </w:tc>
        <w:tc>
          <w:tcPr>
            <w:tcW w:w="14615" w:type="dxa"/>
            <w:gridSpan w:val="3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Результат федерального проекта (справочно из паспорта федерального проекта): Созданы/заменены более 1550 новых фельдшерских, фельдшерско-акушерских пунктов, врачебных амбулаторий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988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00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442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(млн. рублей)</w:t>
            </w:r>
          </w:p>
        </w:tc>
      </w:tr>
      <w:tr>
        <w:trPr>
          <w:trHeight w:hRule="exact" w:val="287"/>
        </w:trPr>
        <w:tc>
          <w:tcPr>
            <w:tcW w:w="100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442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577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44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57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97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49,65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49,65</w:t>
            </w:r>
          </w:p>
        </w:tc>
      </w:tr>
      <w:tr>
        <w:trPr>
          <w:trHeight w:hRule="exact" w:val="71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47,17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47,17</w:t>
            </w:r>
          </w:p>
        </w:tc>
      </w:tr>
      <w:tr>
        <w:trPr>
          <w:trHeight w:hRule="exact" w:val="124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2.1.2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2.1.3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49,65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49,65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2.1.3.1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 субъекта Российской Федерации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49,65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49,65</w:t>
            </w:r>
          </w:p>
        </w:tc>
      </w:tr>
      <w:tr>
        <w:trPr>
          <w:trHeight w:hRule="exact" w:val="97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2.1.3.2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2.1.3.3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2.1.4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3</w:t>
            </w:r>
          </w:p>
          <w:p/>
        </w:tc>
        <w:tc>
          <w:tcPr>
            <w:tcW w:w="14615" w:type="dxa"/>
            <w:gridSpan w:val="3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Результат федерального проекта (справочно из паспорта федерального проекта): 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150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85,60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105,33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270,93</w:t>
            </w:r>
          </w:p>
        </w:tc>
      </w:tr>
      <w:tr>
        <w:trPr>
          <w:trHeight w:hRule="exact" w:val="71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65,64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60,43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70,35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196,41</w:t>
            </w:r>
          </w:p>
        </w:tc>
      </w:tr>
      <w:tr>
        <w:trPr>
          <w:trHeight w:hRule="exact" w:val="38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00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442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(млн. рублей)</w:t>
            </w:r>
          </w:p>
        </w:tc>
      </w:tr>
      <w:tr>
        <w:trPr>
          <w:trHeight w:hRule="exact" w:val="287"/>
        </w:trPr>
        <w:tc>
          <w:tcPr>
            <w:tcW w:w="100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442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577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44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57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860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3.1.2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3.1.3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85,60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105,33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270,93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3.1.3.1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 субъекта Российской Федерации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85,60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105,33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270,93</w:t>
            </w:r>
          </w:p>
        </w:tc>
      </w:tr>
      <w:tr>
        <w:trPr>
          <w:trHeight w:hRule="exact" w:val="97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3.1.3.2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3.1.3.3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3.1.4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4</w:t>
            </w:r>
          </w:p>
          <w:p/>
        </w:tc>
        <w:tc>
          <w:tcPr>
            <w:tcW w:w="14615" w:type="dxa"/>
            <w:gridSpan w:val="3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Результат федерального проекта (справочно из паспорта федерального проекта): Приобретено более 1300 мобильных медицинских комплексов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860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Приобретено более 1300 мобильных медицинских комплексов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146,78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146,78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139,44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139,44</w:t>
            </w:r>
          </w:p>
        </w:tc>
      </w:tr>
      <w:tr>
        <w:trPr>
          <w:trHeight w:hRule="exact" w:val="124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4.1.2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4.1.3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146,78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146,78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4.1.3.1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 субъекта Российской Федерации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146,78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146,78</w:t>
            </w:r>
          </w:p>
        </w:tc>
      </w:tr>
      <w:tr>
        <w:trPr>
          <w:trHeight w:hRule="exact" w:val="97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4.1.3.2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1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00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442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(млн. рублей)</w:t>
            </w:r>
          </w:p>
        </w:tc>
      </w:tr>
      <w:tr>
        <w:trPr>
          <w:trHeight w:hRule="exact" w:val="287"/>
        </w:trPr>
        <w:tc>
          <w:tcPr>
            <w:tcW w:w="100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442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577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44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57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430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4.1.3.3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4.1.4</w:t>
            </w:r>
          </w:p>
        </w:tc>
        <w:tc>
          <w:tcPr>
            <w:tcW w:w="444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544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 по региональному проекту, в том числе: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115,20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294,03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117,33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532,56</w:t>
            </w:r>
          </w:p>
        </w:tc>
      </w:tr>
      <w:tr>
        <w:trPr>
          <w:trHeight w:hRule="exact" w:val="1146"/>
        </w:trPr>
        <w:tc>
          <w:tcPr>
            <w:tcW w:w="544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 (в т.ч. межбюджетные трансферты бюджету) (Республика Коми)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65,64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247,03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70,35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383,02</w:t>
            </w:r>
          </w:p>
        </w:tc>
      </w:tr>
      <w:tr>
        <w:trPr>
          <w:trHeight w:hRule="exact" w:val="1003"/>
        </w:trPr>
        <w:tc>
          <w:tcPr>
            <w:tcW w:w="544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фондов Российской Федерации и их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территориальных фондов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544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Российской Федерации, в т.ч.: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115,20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294,03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117,33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532,56</w:t>
            </w:r>
          </w:p>
        </w:tc>
      </w:tr>
      <w:tr>
        <w:trPr>
          <w:trHeight w:hRule="exact" w:val="573"/>
        </w:trPr>
        <w:tc>
          <w:tcPr>
            <w:tcW w:w="544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 субъекта Российской Федерации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115,20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294,03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117,33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532,56</w:t>
            </w:r>
          </w:p>
        </w:tc>
      </w:tr>
      <w:tr>
        <w:trPr>
          <w:trHeight w:hRule="exact" w:val="1003"/>
        </w:trPr>
        <w:tc>
          <w:tcPr>
            <w:tcW w:w="544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544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муниципальных образований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573"/>
        </w:trPr>
        <w:tc>
          <w:tcPr>
            <w:tcW w:w="5445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577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2393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758" w:type="dxa"/>
            <w:gridSpan w:val="33"/>
            <w:vAlign w:val="center"/>
            <w:shd w:val="clear" w:color="auto" w:fill="auto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5. Участники регионального проекта</w:t>
            </w:r>
          </w:p>
          <w:p/>
        </w:tc>
      </w:tr>
      <w:tr>
        <w:trPr>
          <w:trHeight w:hRule="exact" w:val="573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43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Роль в региональном проекте</w:t>
            </w:r>
          </w:p>
        </w:tc>
        <w:tc>
          <w:tcPr>
            <w:tcW w:w="300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Фамилия, инициалы</w:t>
            </w:r>
          </w:p>
        </w:tc>
        <w:tc>
          <w:tcPr>
            <w:tcW w:w="3295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Должность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Непосредственный руководитель</w:t>
            </w:r>
          </w:p>
        </w:tc>
        <w:tc>
          <w:tcPr>
            <w:tcW w:w="229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Занятость в проекте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(процентов)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43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00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5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29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</w:tr>
      <w:tr>
        <w:trPr>
          <w:trHeight w:hRule="exact" w:val="860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Руководитель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Администратор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Совершаева М.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Крылов А. Н.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Созданы/заменены более 1550 новых фельдшерских, фельдшерско-акушерских пунктов, врачебных амбулаторий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Гапликов С. А.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2293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Суворова О. Г.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1361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Сажин А. В.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</w:tr>
      <w:tr>
        <w:trPr>
          <w:trHeight w:hRule="exact" w:val="124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Исакова О. В.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Фролов Д.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Акберов М. А. О.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Акберов М. А. О.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017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Акберов М. А. О.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Фролов Д.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Гапликов С. А.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Иваненко Н. Г.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7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Гапликов С. А.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Сурин М. В.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Фролов Д.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организации медицинской помощи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1247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Территориальным фондом обязательного медицинского страхования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Российской Федерации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застрахованных лиц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Крылов А. Н.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Функционируют более 500 мобильных медицинских комплексов, приобретенных в 2020 году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организации медицинской помощи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Приобретено более 1300 мобильных медицинских комплексов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Фролов Д.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Сажин А. В.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</w:tr>
      <w:tr>
        <w:trPr>
          <w:trHeight w:hRule="exact" w:val="2321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2292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Суворова О. Г.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Кобелева Н. В.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Борчанинова Е. Л.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Созданы региональные системы диспетчеризации скорой медицинской помощи***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Фролов Д.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Иваненко Н. Г.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36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Сурин М. В.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717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здравоохранения Республики Коми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Кондратьева И. А.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организации медицинской помощи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Сурин М. В.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</w:t>
            </w: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51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Широкова Е. В.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2293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</w:t>
            </w:r>
          </w:p>
        </w:tc>
        <w:tc>
          <w:tcPr>
            <w:tcW w:w="3439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Суворова О. Г.</w:t>
            </w:r>
          </w:p>
        </w:tc>
        <w:tc>
          <w:tcPr>
            <w:tcW w:w="329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286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2293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2292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559"/>
        </w:trPr>
        <w:tc>
          <w:tcPr>
            <w:tcW w:w="15618" w:type="dxa"/>
            <w:gridSpan w:val="3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6. Дополнительная информация</w:t>
            </w:r>
          </w:p>
        </w:tc>
      </w:tr>
      <w:tr>
        <w:trPr>
          <w:trHeight w:hRule="exact" w:val="14"/>
        </w:trPr>
        <w:tc>
          <w:tcPr>
            <w:tcW w:w="15603" w:type="dxa"/>
            <w:gridSpan w:val="35"/>
            <w:tcBorders>
              <w:bottom w:val="single" w:sz="5" w:space="0" w:color="000000"/>
            </w:tcBorders>
          </w:tcPr>
          <w:p/>
        </w:tc>
        <w:tc>
          <w:tcPr>
            <w:tcW w:w="15" w:type="dxa"/>
          </w:tcPr>
          <w:p/>
        </w:tc>
      </w:tr>
      <w:tr>
        <w:trPr>
          <w:trHeight w:hRule="exact" w:val="2866"/>
        </w:trPr>
        <w:tc>
          <w:tcPr>
            <w:tcW w:w="15603" w:type="dxa"/>
            <w:gridSpan w:val="35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Вклад мероприятий регионального проекта «Развитие системы оказания первичной медико-санитарной помощи»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(далее – федеральный проект) в достижение целей Национального проекта «Здравоохранение» (далее – национальный проект):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Целевой показатель национального 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Целевой показатель национального проекта «доля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регионального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Глоссарий: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b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«Новая модель медицинской организации, оказывающей первичную медико-санитарную помощь»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принципов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пациентов доступностью и качеством медицинской помощи, эффективного использование ресурсов системы здравоохранения.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b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Создание новой модели медицинской организации, оказывающей первичную медико-санитарную помощь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переходом на электронный документооборот, сокращением бумажной документации.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b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Бережливое производство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i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процессов.</w:t>
            </w:r>
            <w:r>
              <w:rPr>
                <w:i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  </w:t>
            </w:r>
            <w:r>
              <w:rPr>
                <w:i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концепции являлась схожей с принципами и философией бережливого производства.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Пояснения: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1– </w:t>
            </w:r>
            <w:r>
              <w:rPr>
                <w:i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соответствии с пунктами 19.2., 19.3., 19.4. Положения об организации оказания первичной медико-санитарной помощи взрослому населению, </w:t>
            </w:r>
          </w:p>
          <w:p/>
        </w:tc>
        <w:tc>
          <w:tcPr>
            <w:tcW w:w="15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5603" w:type="dxa"/>
            <w:gridSpan w:val="3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5603" w:type="dxa"/>
            <w:gridSpan w:val="3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5603" w:type="dxa"/>
            <w:gridSpan w:val="3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03" w:type="dxa"/>
            <w:gridSpan w:val="35"/>
            <w:tcBorders>
              <w:top w:val="single" w:sz="5" w:space="0" w:color="000000"/>
            </w:tcBorders>
          </w:tcPr>
          <w:p/>
        </w:tc>
        <w:tc>
          <w:tcPr>
            <w:tcW w:w="15" w:type="dxa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</w:t>
            </w:r>
          </w:p>
        </w:tc>
      </w:tr>
      <w:tr>
        <w:trPr>
          <w:trHeight w:hRule="exact" w:val="430"/>
        </w:trPr>
        <w:tc>
          <w:tcPr>
            <w:tcW w:w="15603" w:type="dxa"/>
            <w:gridSpan w:val="35"/>
            <w:tcBorders>
              <w:bottom w:val="single" w:sz="5" w:space="0" w:color="000000"/>
            </w:tcBorders>
          </w:tcPr>
          <w:p/>
        </w:tc>
        <w:tc>
          <w:tcPr>
            <w:tcW w:w="15" w:type="dxa"/>
          </w:tcPr>
          <w:p/>
        </w:tc>
      </w:tr>
      <w:tr>
        <w:trPr>
          <w:trHeight w:hRule="exact" w:val="2092"/>
        </w:trPr>
        <w:tc>
          <w:tcPr>
            <w:tcW w:w="15603" w:type="dxa"/>
            <w:gridSpan w:val="35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i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утвержденного приказом Минздравсоцразвития России от 15.05.2012 № 543н;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2 – кадровое обеспечение медицинских организаций, оказывающих первичную медико-санитарную помощь, осуществляется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3 – упрощение процедуры записи на прием к врачу,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4 – создание единой системы диспетчеризации скорой медицинской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Показатели «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 и «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Доля записей к врачу, совершенных гражданами без очного обращения в регистратуру медицинской организации»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могут быть уточнены в ходе реализации регионального проекта.</w:t>
            </w:r>
          </w:p>
          <w:p/>
        </w:tc>
        <w:tc>
          <w:tcPr>
            <w:tcW w:w="15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092"/>
        </w:trPr>
        <w:tc>
          <w:tcPr>
            <w:tcW w:w="15603" w:type="dxa"/>
            <w:gridSpan w:val="3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5603" w:type="dxa"/>
            <w:gridSpan w:val="35"/>
            <w:tcBorders>
              <w:top w:val="single" w:sz="5" w:space="0" w:color="000000"/>
            </w:tcBorders>
          </w:tcPr>
          <w:p/>
        </w:tc>
        <w:tc>
          <w:tcPr>
            <w:tcW w:w="15" w:type="dxa"/>
          </w:tcPr>
          <w:p/>
        </w:tc>
      </w:tr>
      <w:tr>
        <w:trPr>
          <w:trHeight w:hRule="exact" w:val="1849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1834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574"/>
        </w:trPr>
        <w:tc>
          <w:tcPr>
            <w:tcW w:w="11462" w:type="dxa"/>
            <w:gridSpan w:val="27"/>
          </w:tcPr>
          <w:p/>
        </w:tc>
        <w:tc>
          <w:tcPr>
            <w:tcW w:w="4156" w:type="dxa"/>
            <w:gridSpan w:val="9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ПРИЛОЖЕНИЕ №1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 паспорту регионального проекта</w:t>
            </w:r>
          </w:p>
        </w:tc>
      </w:tr>
      <w:tr>
        <w:trPr>
          <w:trHeight w:hRule="exact" w:val="573"/>
        </w:trPr>
        <w:tc>
          <w:tcPr>
            <w:tcW w:w="11462" w:type="dxa"/>
            <w:gridSpan w:val="27"/>
          </w:tcPr>
          <w:p/>
        </w:tc>
        <w:tc>
          <w:tcPr>
            <w:tcW w:w="4156" w:type="dxa"/>
            <w:gridSpan w:val="9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Развитие первичной медико-санитарной помощи (Республика Коми)</w:t>
            </w:r>
          </w:p>
        </w:tc>
      </w:tr>
      <w:tr>
        <w:trPr>
          <w:trHeight w:hRule="exact" w:val="2865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2866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192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192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758" w:type="dxa"/>
            <w:gridSpan w:val="33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15618" w:type="dxa"/>
            <w:gridSpan w:val="3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ПЛАН МЕРОПРИЯТИЙ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по реализации регионального проекта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Крылов А. Н., Директор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соответствии с регламентом с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траховые медицинские организации Республики Коми проинформируют в 2019 году 44,8 %, в 2020 году 49,0%, в 2021 году 66,8 %, в 2022 году 76,7 %, в 2023 году 90,8 %, в 2024 году 100 % застрахованных лиц старше 18 лет о праве на прохождение профилактического медицинского осмотра. Обеспечен охват граждан профилактическими медицинскими осмотрами: в 2019 году не менее 44,0 %, в 2020 году не менее 48,2 %,  в 2021 году не менее 53,4 %, в 2022 году не менее 59,6 %, в 2023 году не менее 65,0 %, в 2024 году не менее 70,0 %.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270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0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36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54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Созданы/заменены более 1550 новых фельдшерских, фельдшерско-акушерских пунктов, врачебных амбулаторий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Органами исполнительной власти Республики Коми в первой половине 2020 года будут: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 счет средств республиканского бюджета Республики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Коми подготовлены участки для создания фельдшерско-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акушерских пунктов и подведены коммуникации,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проведены мероприятия по обеспечению фельдшерско-акушерских пунктов медицинским персоналом;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проведены конкурсные процедуры и заключены государственные контракты для замены более 5 фельдшерско-акушерских пунктов.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Созданные фельдшерско-акушерские пункты будут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подготовлены к получению лицензии на осуществление медицинской деятельности.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4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1505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Земельный участок предоставлен заказчику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2.2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Получены положительные заключения по результатам государственных экспертиз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2.2.1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2.3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Получено разрешение на строительство (реконструкцию)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2.3.1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2.4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Строительно-монтажные работы завершены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2.4.1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688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1505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2.5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Оборудование приобретено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2.5.1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2.6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Оборудование установлено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2.6.1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2.7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Оборудование введено в эксплуатацию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2.7.1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2.8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Техническая готовность объекта,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2.8.1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688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1505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2.9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Заключение органа государственного строительного надзора получено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2.9.1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2.10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Объект недвижимого имущества введен в эксплуатацию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2.10.1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Государственная регистрация права на объект недвижимого имущества произведена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2.12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Утверждено распределение межбюджетных трансфертов по субъектам Российской Федерации (муниципальным образованиям)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2.12.1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688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1505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2.13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Утверждены правила распределения и предоставления бюджетам субъектов Российской Федерации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2.13.1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2.14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2.14.1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2.15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2.15.1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2.16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2.16.1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04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85 субъектах Российской Федерации созданы региональные проектные офисы по созданию и внедрению "Новой модели медицинской </w:t>
            </w:r>
          </w:p>
          <w:p/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15.05.2019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будут приняты нормативные </w:t>
            </w:r>
          </w:p>
          <w:p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44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организации, оказывающей первичную медико-санитарную помощь"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правовые акты, регламентирующие создание региональных проектных офисов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 созданию и внедрению «Новой модели медицинской организации, оказывающей первичную медико-санитарную помощь»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будет создан региональные проектный офис, на который нормативными правовыми актами будут возложены функции по методической поддержке и координации работы медицинских организаций, образовательных организаций, территориальных фондов ОМС по проведению анализа организации первичной медико-санитарной помощи в Республике Коми, участвовать в разработке мер по устранению типовых проблем в медицинских 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43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593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организациях – участниках проекта, организации апробации принципов бережливого производства, создании «Новой модели медицинской организации», осуществлять сбор информации от медицинских организаций, участвующих в проекте,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для представления в ЦПМСП, обеспечивать тиражирование лучших практик в границах субъекта Российской Федерации.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5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476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476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180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55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,0 %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медицинских организаций, оказывающих данный вид помощи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18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4.2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4.2.1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4.3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4.3.1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662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4.4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4.4.1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4.5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4.5.1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4.6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4.6.1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421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основании описания, разработанного ЦПМСП.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  <w:jc w:val="center"/>
            </w:pP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242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29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продолжены.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5.2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5.2.1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7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47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29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5.3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5.3.1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5.4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5.4.1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5.5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5.5.1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5.6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5.6.1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92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92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29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планирования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196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4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931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Построено (реконструировано) не менее 78 вертолетных (посадочных) площадок при </w:t>
            </w:r>
          </w:p>
          <w:p/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Крикуненко А. А., Министр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Минздравом Республики Коми по согласованию с </w:t>
            </w:r>
          </w:p>
          <w:p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29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России в 2019 году будет определена потребность в данном виде работ, осуществлён выбор местоположения вертолетных площадок, будут определены источники финансирования (за счет средств бюджетов субъектов Российской Федерации,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или с использованием механизмов государственно-частного партнерства, или с привлечением средств инвесторов), при необходимости будут приняты нормативные правовые акты Республики Коми.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Также в 2019 году и в первой половине 2020 года будет завершен подготовительный этап работ по строительству/реконструкции вертолетных площадок или развертыванию сборно-разборных мобильных 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579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посадочных комплексов (выбор участка, определение подрядчика, разработка и согласование ПСД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на строительство/реконструкцию).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 конца 2020 года будут выполнены работы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 строительству/реконструкции вертолетных площадок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или развертыванию сборно-разборных мобильных посадочных комплексов.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5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565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Республики Коми обеспечено получение лицензий на осуществление медицинской деятельности созданными в 2020 году фельдшерскими, фельдшерско-</w:t>
            </w:r>
          </w:p>
          <w:p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51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акушерскими пунктами, врачебными амбулаториями. Комиссией по разработке территориальной программы обязательного медицинского страхования будут предоставлены на 2020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созданных в 2020 году фельдшерских, фельдшерско-акушерских пунктах, врачебных амбулаториях будет начато оказание медицинской помощи.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09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7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674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Территориальным фондом обязательного </w:t>
            </w:r>
          </w:p>
          <w:p/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Крылов А. Н.,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 Республике Коми </w:t>
            </w:r>
          </w:p>
          <w:p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52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медицинского страхования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Российской Федерации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застрахованных лиц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страховыми медицинскими организациями в 2021 году открыты офисы (представительства) по защите прав застрахованных лиц.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целях оценки условий пребывания пациентов в медицинских организациях, предотвращения рисков взимания платы за гарантированную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– 3,6 % в 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53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2019 году, 21,8 % в 2020 году, 32,7 % в 2021 году, 40,0 % в 2022 году, 45,5 % в 2023 году, 50,9 % в 2024 году.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Страховыми медицинскими организациями Республики Коми в 2019 –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помощи. Будут урегулированы страховыми медицинскими организациями Республики Коми в досудебном порядке 53,0 % в 2019 году, 57,0% в 2020 году, 61,5% в 2021 году, 65,5% в 2022 году, 69,5% в 2023 году, 73,5% в 2024 году обоснованных жалоб пациентов от общего количества поступивших жалоб.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4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6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54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2637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2636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Функционируют более 500 мобильных медицинских комплексов, приобретенных в 2020 году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в первом квартале 2021 года будут разработаны и утверждены планы-графики работы передвижных медицинских комплексов, в том числе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населенных пунктах до 100 человек.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республики Коми будет обеспечено выполнение утвержденных планов-графиков работы.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23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7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516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56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Приобретено более 1300 мобильных медицинских комплексов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31.12.2020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Республики Коми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Приобретенные передвижные медицинские комплексы до конца 2020 года будут переданы в медицинские организации Республики Коми.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216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6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96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57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Созданы региональные системы диспетчеризации скорой медицинской помощи***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31.12.2021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диспетчеризации, позволяющих автоматизировать процессы приема и распределения вызовов.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Достижение указанных результатов обеспечивается в рамках решения задачи 3.1.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229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5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  <w:jc w:val="center"/>
            </w:pPr>
          </w:p>
          <w:p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На основании типовой стратегии разработанной Минздравом России, Правительством Республики Коми будут разработана и утверждена региональная стратегия развития санитарной авиации на период до 2024 года.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Минздравом Республики Коми, будет заключен государственный контракт на закупку авиационных работ в целях оказания медицинской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2020 год дополнительно не менее чем 109 вылетов позволят дополнительно эвакуировать в 2020 году 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59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 менее 151 пациента,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2021 год дополнительно не менее чем 128 вылетов позволят дополнительно эвакуировать в 2021 году не менее 177 пациента,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2022 год дополнительно не менее чем 142 вылетов позволят дополнительно эвакуировать в 2022 году не менее 196 пациентов,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2023 год дополнительно не менее чем 156 вылетов позволят дополнительно эвакуировать в 2023 году не менее 215 пациентов, </w:t>
            </w: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2049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5158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Выполненные за 2024 год дополнительно не менее чем 169 вылетов позволят дополнительно эвакуировать в 2024 году не менее 233 пациентов, нуждающихся в оказании скорой специализированной помощи.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0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13.1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13.1.1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13.2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13.2.1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13.3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13.3.1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20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61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5158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435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2866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результата</w:t>
            </w:r>
          </w:p>
        </w:tc>
        <w:tc>
          <w:tcPr>
            <w:tcW w:w="186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контроля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58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2435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515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43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6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86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13.4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13.4.1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13.5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13.5.1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7"/>
        </w:trPr>
        <w:tc>
          <w:tcPr>
            <w:tcW w:w="716" w:type="dxa"/>
            <w:gridSpan w:val="2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13.6</w:t>
            </w:r>
          </w:p>
        </w:tc>
        <w:tc>
          <w:tcPr>
            <w:tcW w:w="5158" w:type="dxa"/>
            <w:gridSpan w:val="7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Контрольная точка не задана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13.6.1</w:t>
            </w:r>
          </w:p>
        </w:tc>
        <w:tc>
          <w:tcPr>
            <w:tcW w:w="5158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Мероприятия по контрольной точке отсутствуют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435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</w:t>
            </w:r>
          </w:p>
        </w:tc>
        <w:tc>
          <w:tcPr>
            <w:tcW w:w="2866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6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2636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2637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62</w:t>
            </w:r>
          </w:p>
        </w:tc>
      </w:tr>
      <w:tr>
        <w:trPr>
          <w:trHeight w:hRule="exact" w:val="573"/>
        </w:trPr>
        <w:tc>
          <w:tcPr>
            <w:tcW w:w="11462" w:type="dxa"/>
            <w:gridSpan w:val="27"/>
          </w:tcPr>
          <w:p/>
        </w:tc>
        <w:tc>
          <w:tcPr>
            <w:tcW w:w="4156" w:type="dxa"/>
            <w:gridSpan w:val="9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ПРИЛОЖЕНИЕ №2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 паспорту регионального проекта</w:t>
            </w:r>
          </w:p>
        </w:tc>
      </w:tr>
      <w:tr>
        <w:trPr>
          <w:trHeight w:hRule="exact" w:val="573"/>
        </w:trPr>
        <w:tc>
          <w:tcPr>
            <w:tcW w:w="11462" w:type="dxa"/>
            <w:gridSpan w:val="27"/>
          </w:tcPr>
          <w:p/>
        </w:tc>
        <w:tc>
          <w:tcPr>
            <w:tcW w:w="4156" w:type="dxa"/>
            <w:gridSpan w:val="9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Развитие первичной медико-санитарной помощи (Республика Коми)</w:t>
            </w:r>
          </w:p>
        </w:tc>
      </w:tr>
      <w:tr>
        <w:trPr>
          <w:trHeight w:hRule="exact" w:val="859"/>
        </w:trPr>
        <w:tc>
          <w:tcPr>
            <w:tcW w:w="15618" w:type="dxa"/>
            <w:gridSpan w:val="3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МЕТОДИКА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расчета дополнительных показателей регионального проекта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граждан, прошедших профилактические осмотры МЛН ЧЕЛ</w:t>
            </w:r>
          </w:p>
        </w:tc>
      </w:tr>
      <w:tr>
        <w:trPr>
          <w:trHeight w:hRule="exact" w:val="859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граждан, прошедших профилактические осмотры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N - Число граждан, прошедших профилактические осмотры и диспансеризацию, МЛН ЧЕЛ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30 «Сведения о медицинской организации» (таблица 2510), ежегодно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Ежемесячно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6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абсолютный</w:t>
            </w:r>
          </w:p>
        </w:tc>
      </w:tr>
      <w:tr>
        <w:trPr>
          <w:trHeight w:hRule="exact" w:val="16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92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Общая смертность населения на 1000 населения ПРОМИЛЛЕ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Общая смертность населения на 1000 населения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 - Общее число умерших за год*1000/Среднегодовая численность населения, ПРОМИЛЛЕ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30 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ЧЕЧЕНСКОЙ РЕСПУБЛИКИ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Ежемесячно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5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Общее число умерших за год*1000/Среднегодовая численность населения</w:t>
            </w:r>
          </w:p>
        </w:tc>
      </w:tr>
      <w:tr>
        <w:trPr>
          <w:trHeight w:hRule="exact" w:val="2851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2851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64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702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неинфекционных заболеваний, выявленных при проведении диспансеризации и профилактическом медицинском осмотре ПРОЦ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организации» (таблица 3000), еже-годно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 отчетный период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59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b - Число зарегистрированных заболеваний злокачественными новообразованиями с впервые в жизни установленным диагнозом, выявленных при проф. осмотре и диспансеризации определенных групп взрослого населения,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 отчетный период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61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66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c - Число зарегистрированных заболеваний сахарным диабетом с впервые в жизни установленным диагнозом, выявленных при проф. осмотре и диспансеризации определенных групп взрослого населения,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 отчетный период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61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67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d - Число зарегистрированных заболеваний сахарным диабетом I типа с впервые в жизни установленным диагнозом, выявленных при проф. осмотре и диспансеризации определенных групп взрослого населения,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 отчетный период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6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68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e - Число зарегистрированных заболеваний болезнью системы кровообращения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 отчетный период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7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69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f - Число зарегистрированных заболеваний злокачественными новообразованиями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 отчетный период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61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g - Число зарегистрированных заболеваний сахарным диабетом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 отчетный период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60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71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h - Число зарегистрированных заболеваний сахарным диабетом I типа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 отчетный период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02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 ЕД</w:t>
            </w:r>
          </w:p>
        </w:tc>
      </w:tr>
      <w:tr>
        <w:trPr>
          <w:trHeight w:hRule="exact" w:val="559"/>
        </w:trPr>
        <w:tc>
          <w:tcPr>
            <w:tcW w:w="57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329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медицинских </w:t>
            </w:r>
          </w:p>
        </w:tc>
        <w:tc>
          <w:tcPr>
            <w:tcW w:w="2435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N - Количество 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</w:t>
            </w:r>
          </w:p>
        </w:tc>
        <w:tc>
          <w:tcPr>
            <w:tcW w:w="171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</w:t>
            </w:r>
          </w:p>
        </w:tc>
        <w:tc>
          <w:tcPr>
            <w:tcW w:w="172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 отчетный 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356749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356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72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301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ративная информация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192095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19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 – общее количество медицинских организаций, оказывающих первичную медико-санитарную помощь, определяется с учетом количества самостоятельных поликлиник и детских поликлиник (в соответствии с формой федерального статистического наблюдения № 47 "Сведения о сети и деятельности медицинских организаций", утвержденной приказом Росстата от 27 ноября 2015 г. № 591, за 2017 год соответственно по стр. 2, графа 3 и стр. 3, графа 3, таблицы 0600), количества поликлиник (поликлинических отделений), детских поликлинических отделений медицинских организаций (детских поликлиник (подразделений, отделов, </w:t>
            </w:r>
          </w:p>
        </w:tc>
      </w:tr>
      <w:tr>
        <w:trPr>
          <w:trHeight w:hRule="exact" w:val="270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69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73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2723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отделений), консультативно-диагностических центров, консультативно-диагностических центров для детей (подразделений, отделов, отделений) (в соответствии с формой федерального статистического наблюдения № 30 "Сведения о медицинской организации", утвержденной приказом Росстата от 27 декабря 2016 № 866, за 2017 год соответственно стр.88, графа 4, стр. 13, графа 4 и стр. 31, графа 4, стр. 32, графа 4 таблицы 1001).</w:t>
            </w:r>
          </w:p>
        </w:tc>
      </w:tr>
      <w:tr>
        <w:trPr>
          <w:trHeight w:hRule="exact" w:val="272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62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561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74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записей к врачу, совершенных гражданами без очного обращения в регистратуру медицинской организации ПРОЦ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записей к врачу, совершенных гражданами без обращения в регистратуру медицинской организации, в том числе с помощью единого портала государственных услуг и функций, региональных порталов государственных услуг, инфоматов и Call-центров, зарегистрированных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 / Общее количество записей к врачу по всем источникам, включая регистратуру медицинских организаций, зарегистрированных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NЕГИСЗ - Количество записей к врачу, совершенных гражданами без обращения в регистратуру медицинской организации, в том числе с помощью единого портала государственных услуг и функций, региональных порталов государственных услуг, инфоматов и Call-центров, зарегистрированных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«Федеральная электронная регистратура» единой государственной информационной системы в сфере здравоохранения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Ежеквартально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 значения показателя будет осуществляться на основе сведений, передаваемых государственными информационными системами в сфере здравоохранения субъектов РФ в подсистему «Федеральная электронная регистратура» единой государственной системы в сфере здравоохранения</w:t>
            </w:r>
          </w:p>
        </w:tc>
      </w:tr>
      <w:tr>
        <w:trPr>
          <w:trHeight w:hRule="exact" w:val="19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1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59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записей к врачу, совершенных гражданами без обращения в регистратуру медицинской организации, в том числе с помощью единого портала государственных услуг и функций, региональных порталов государственных услуг, инфоматов и Call-центров, зарегистрированных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 / Общее количество записей к врачу по всем источникам, включая регистратуру медицинских организаций, зарегистрированных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KЕГИСЗ - Общее количество записей к врачу по всем источникам, включая регистратуру медицинских организаций, зарегистрированных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«Федеральная электронная регистратура» единой государственной информационной системы в сфере здравоохранения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Ежеквартально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Контроль значения показателя будет осуществляться на основе сведений, передаваемых государственными информационными системами в сфере здравоохранения субъектов РФ в подсистему «Федеральная электронная регистратура» единой государственной системы в сфере здравоохранения</w:t>
            </w:r>
          </w:p>
        </w:tc>
      </w:tr>
      <w:tr>
        <w:trPr>
          <w:trHeight w:hRule="exact" w:val="19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003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76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702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обоснованных жалоб (от общего количества поступивших жалоб), урегулированных в досудебном порядке страховыми медицинскими организациями ПРОЦ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обоснованных жалоб, урегулированных в досудебном порядке страховыми медицинскими организациями / общее количество поступивших жалоб) *100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N ур.ж - Количество обоснованных жалоб, урегулированных в досудебном порядке страховыми медицинскими организациями,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 ФОМС от 16.08.2011 № 145 «Об утверждении формы и порядка ведения отчетности ПГ «Организация защиты прав застрахованных лиц в сфере обязательного медицинского страхования» (Таблица 1.2 и Таблица 2.1)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ГОСУДАРСТВЕННОЕ НЕКОММЕРЧЕСКОЕ ФИНАНСОВО-КРЕДИТНОЕ УЧРЕЖДЕНИЕ КИРОВСКИЙ ОБЛАСТНОЙ ТЕРРИТОРИАЛЬНЫЙ ФОНД ОБЯЗАТЕЛЬНОГО МЕДИЦИНСКОГО СТРАХОВАНИЯ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Ежеквартально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77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обоснованных жалоб, урегулированных в досудебном порядке страховыми медицинскими организациями / общее количество поступивших жалоб) *100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N ж - Общее количество поступивших жалоб,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Приказ ФОМС от 16.08.2011 № 145 «Об утверждении формы и порядка ведения отчетности ПГ «Организация защиты прав застрахованных лиц в сфере обязательного медицинского страхования» (Таблица 1.2 и Таблица 2.1)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ГОСУДАРСТВЕННОЕ НЕКОММЕРЧЕСКОЕ ФИНАНСОВО-КРЕДИТНОЕ УЧРЕЖДЕНИЕ КИРОВСКИЙ ОБЛАСТНОЙ ТЕРРИТОРИАЛЬНЫЙ ФОНД ОБЯЗАТЕЛЬНОГО МЕДИЦИНСКОГО СТРАХОВАНИЯ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Ежеквартально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31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78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96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 ПРОЦ</w:t>
            </w:r>
          </w:p>
        </w:tc>
      </w:tr>
      <w:tr>
        <w:trPr>
          <w:trHeight w:hRule="exact" w:val="859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медицинских организаций, оказывающих первичную медико-санитарную помощь,  на базе которых функционируют каналы связи граждан со страховыми представителями страховых медицинских организаций / количество медицинских организаций, оказывающих первичную медико-санитарную помощь,  участвующих в реализации программы ОМС) *100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Ckos - Количество медицинских организаций, оказывающих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Административная информация на основании приказа ФОМС от 29.11.2018 № 262 «Об установлении форм отчета» (Таблица 2 Приложения 2).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ГОСУДАРСТВЕННОЕ БЮДЖЕТНОЕ УЧРЕЖДЕНИЕ РЕСПУБЛИКИ КОМИ "ТЕРРИТОРИАЛЬНЫЙ ФОНД ОБЯЗАТЕЛЬНОГО МЕДИЦИНСКОГО СТРАХОВАНИЯ РЕСПУБЛИКИ КОМИ"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Ежемесячно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1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- относительный</w:t>
            </w:r>
          </w:p>
        </w:tc>
      </w:tr>
      <w:tr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07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79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медицинских организаций, оказывающих первичную медико-санитарную помощь,  на базе которых функционируют каналы связи граждан со страховыми представителями страховых медицинских организаций / количество медицинских организаций, оказывающих первичную медико-санитарную помощь,  участвующих в реализации программы ОМС) *100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Cko - Количество медицинских организаций, оказывающих первичную медико-санитарную помощь, участвующих в реализации программы ОМС, ЕД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Административная информация на основании приказа ФОМС от 29.11.2018 № 262 «Об установлении форм отчета» (Таблица 2 Приложения 2).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ГОСУДАРСТВЕННОЕ БЮДЖЕТНОЕ УЧРЕЖДЕНИЕ РЕСПУБЛИКИ КОМИ "ТЕРРИТОРИАЛЬНЫЙ ФОНД ОБЯЗАТЕЛЬНОГО МЕДИЦИНСКОГО СТРАХОВАНИЯ РЕСПУБЛИКИ КОМИ"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Ежемесячно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1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- относительный</w:t>
            </w:r>
          </w:p>
        </w:tc>
      </w:tr>
      <w:tr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91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690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посещений при выездах мобильных медицинских бригад Тысяча посещений</w:t>
            </w:r>
          </w:p>
        </w:tc>
      </w:tr>
      <w:tr>
        <w:trPr>
          <w:trHeight w:hRule="exact" w:val="860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посещений мобильными медицинскими бригадами / 1 000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Cpmb - Количество посещений мобильными медицинскими бригадами, Тысяча посещений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федерального статистического наблюдения № 30 «Сведения о медицинской организации» (таблица 2105, стр. 14, гр. 3), ежегодно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Один раз в год, показатель на дату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9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- абсолютный</w:t>
            </w:r>
          </w:p>
        </w:tc>
      </w:tr>
      <w:tr>
        <w:trPr>
          <w:trHeight w:hRule="exact" w:val="19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34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1734"/>
        </w:trPr>
        <w:tc>
          <w:tcPr>
            <w:tcW w:w="15618" w:type="dxa"/>
            <w:gridSpan w:val="36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81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лиц, госпитализированных по экстренным показаниям в течение первых суток от общего числа больных, к которым совершены вылеты ПРОЦ</w:t>
            </w:r>
          </w:p>
        </w:tc>
      </w:tr>
      <w:tr>
        <w:trPr>
          <w:trHeight w:hRule="exact" w:val="859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лиц, госпитализированных по экстренным показаниям в течение первых суток от общего числа больных, к которым совершены вылеты, %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Ne - Число лиц, госпитализированных по экстренным показаниям в результате санитарно-авиационной эвакуации в течение первых суток с момента передачи вызова авиамедицинской выездной бригаде скорой медицинской помощи, ЧЕЛ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основании учетной формы № 110-у «Карта вызова скорой медицинской помощи»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Один раз в год, показатель на дату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относительный</w:t>
            </w:r>
          </w:p>
        </w:tc>
      </w:tr>
      <w:tr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85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Nt - Число лиц, в отношении которых осуществлен вызов авиамедицинской выездной бригады скорой медицинской помощи, ЧЕЛ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основании учетной формы № 110-у «Карта вызова скорой медицинской помощи»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Один раз в год, показатель на дату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2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1075"/>
        </w:trPr>
        <w:tc>
          <w:tcPr>
            <w:tcW w:w="15618" w:type="dxa"/>
            <w:gridSpan w:val="36"/>
            <w:tcBorders>
              <w:top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82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Временные характеристики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2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3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лиц (пациентов), дополнительно эвакуированных с использованием санитарной авиации (ежегодно, человек) не менее ЧЕЛ</w:t>
            </w:r>
          </w:p>
        </w:tc>
      </w:tr>
      <w:tr>
        <w:trPr>
          <w:trHeight w:hRule="exact" w:val="859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329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Число лиц (пациентов), дополнительно эвакуированных в отчетном году с использованием санитарной авиации за счет средств субсидии из федерального бюджета </w:t>
            </w:r>
          </w:p>
        </w:tc>
        <w:tc>
          <w:tcPr>
            <w:tcW w:w="2435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Nдоп - Количество дополнительно эвакуированных пациентов, в отношении которых была выполнена санитарно-авиационная эвакуация при оказании скорой, в том числе скорой специализированной, медицинской помощи, ЧЕЛ</w:t>
            </w:r>
          </w:p>
        </w:tc>
        <w:tc>
          <w:tcPr>
            <w:tcW w:w="1290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основании учетной формы № 110-у «Карта вызова скорой медицинской помощи»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Один раз в год, показатель на дату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300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5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показателя – абсолютный</w:t>
            </w:r>
          </w:p>
        </w:tc>
      </w:tr>
    </w:tbl>
    <w:sectPr>
      <w:pgSz w:w="16834" w:h="13349" w:orient="landscape"/>
      <w:pgMar w:top="1134" w:right="576" w:bottom="526" w:left="576" w:header="1134" w:footer="52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mbria"/>
  <w:font w:name="Arial"/>
  <w:font w:name="Times New Roman"/>
  <w:font w:name="Calibri"/>
  <w:font w:name="Noto Sans, sans-serif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jpeg" /><Relationship Id="rId6" Type="http://schemas.openxmlformats.org/officeDocument/2006/relationships/image" Target="media/image00002.jpeg" /><Relationship Id="rId7" Type="http://schemas.openxmlformats.org/officeDocument/2006/relationships/image" Target="media/image00003.jpeg" /><Relationship Id="rId8" Type="http://schemas.openxmlformats.org/officeDocument/2006/relationships/image" Target="media/image00004.jpeg" /><Relationship Id="rId9" Type="http://schemas.openxmlformats.org/officeDocument/2006/relationships/image" Target="media/image00005.jpeg" /><Relationship Id="rId10" Type="http://schemas.openxmlformats.org/officeDocument/2006/relationships/image" Target="media/image00006.jpeg" /><Relationship Id="rId11" Type="http://schemas.openxmlformats.org/officeDocument/2006/relationships/image" Target="media/image00007.jpeg" /><Relationship Id="rId12" Type="http://schemas.openxmlformats.org/officeDocument/2006/relationships/image" Target="media/image00008.jpeg" /><Relationship Id="rId13" Type="http://schemas.openxmlformats.org/officeDocument/2006/relationships/image" Target="media/image00009.jpeg" /><Relationship Id="rId14" Type="http://schemas.openxmlformats.org/officeDocument/2006/relationships/image" Target="media/image00010.jpeg" /><Relationship Id="rId15" Type="http://schemas.openxmlformats.org/officeDocument/2006/relationships/image" Target="media/image00011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2018.2.2 from 26 April 2018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/>
  <cp:keywords/>
  <dc:description/>
  <cp:lastModifiedBy>Stimulsoft Reports 2018.2.2 from 26 April 2018</cp:lastModifiedBy>
  <cp:revision>1</cp:revision>
  <dcterms:created xsi:type="dcterms:W3CDTF">2019-07-30T10:24:53Z</dcterms:created>
  <dcterms:modified xsi:type="dcterms:W3CDTF">2019-07-30T10:24:53Z</dcterms:modified>
</cp:coreProperties>
</file>