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286"/>
        <w:gridCol w:w="143"/>
        <w:gridCol w:w="144"/>
        <w:gridCol w:w="143"/>
        <w:gridCol w:w="143"/>
        <w:gridCol w:w="2723"/>
        <w:gridCol w:w="286"/>
        <w:gridCol w:w="430"/>
        <w:gridCol w:w="860"/>
        <w:gridCol w:w="429"/>
        <w:gridCol w:w="430"/>
        <w:gridCol w:w="144"/>
        <w:gridCol w:w="429"/>
        <w:gridCol w:w="287"/>
        <w:gridCol w:w="287"/>
        <w:gridCol w:w="143"/>
        <w:gridCol w:w="143"/>
        <w:gridCol w:w="573"/>
        <w:gridCol w:w="144"/>
        <w:gridCol w:w="286"/>
        <w:gridCol w:w="573"/>
        <w:gridCol w:w="430"/>
        <w:gridCol w:w="143"/>
        <w:gridCol w:w="573"/>
        <w:gridCol w:w="430"/>
        <w:gridCol w:w="144"/>
        <w:gridCol w:w="143"/>
        <w:gridCol w:w="286"/>
        <w:gridCol w:w="287"/>
        <w:gridCol w:w="430"/>
        <w:gridCol w:w="143"/>
        <w:gridCol w:w="287"/>
        <w:gridCol w:w="716"/>
        <w:gridCol w:w="430"/>
        <w:gridCol w:w="286"/>
        <w:gridCol w:w="430"/>
        <w:gridCol w:w="1132"/>
        <w:gridCol w:w="26"/>
      </w:tblGrid>
      <w:tr w:rsidR="00934BFB">
        <w:trPr>
          <w:trHeight w:hRule="exact" w:val="1003"/>
        </w:trPr>
        <w:tc>
          <w:tcPr>
            <w:tcW w:w="15618" w:type="dxa"/>
            <w:gridSpan w:val="39"/>
          </w:tcPr>
          <w:p w:rsidR="00934BFB" w:rsidRDefault="00934BFB">
            <w:bookmarkStart w:id="0" w:name="_GoBack"/>
            <w:bookmarkEnd w:id="0"/>
          </w:p>
        </w:tc>
      </w:tr>
      <w:tr w:rsidR="00934BFB">
        <w:trPr>
          <w:trHeight w:hRule="exact" w:val="387"/>
        </w:trPr>
        <w:tc>
          <w:tcPr>
            <w:tcW w:w="15618" w:type="dxa"/>
            <w:gridSpan w:val="39"/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934BFB">
        <w:trPr>
          <w:trHeight w:hRule="exact" w:val="4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387"/>
        </w:trPr>
        <w:tc>
          <w:tcPr>
            <w:tcW w:w="15618" w:type="dxa"/>
            <w:gridSpan w:val="39"/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934BFB">
        <w:trPr>
          <w:trHeight w:hRule="exact" w:val="4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573"/>
        </w:trPr>
        <w:tc>
          <w:tcPr>
            <w:tcW w:w="15618" w:type="dxa"/>
            <w:gridSpan w:val="39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934BFB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</w:t>
            </w:r>
          </w:p>
        </w:tc>
      </w:tr>
      <w:tr w:rsidR="00934BFB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300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начала и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окончания проекта</w:t>
            </w:r>
          </w:p>
        </w:tc>
        <w:tc>
          <w:tcPr>
            <w:tcW w:w="329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01.01.2019 - 31.12.2024</w:t>
            </w:r>
          </w:p>
        </w:tc>
      </w:tr>
      <w:tr w:rsidR="00934BFB">
        <w:trPr>
          <w:trHeight w:hRule="exact" w:val="574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Михальченкова Наталья Алексеевна, Заместитель Председателя 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тельства Республики Коми</w:t>
            </w:r>
          </w:p>
        </w:tc>
      </w:tr>
      <w:tr w:rsidR="00934BFB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Дмитрий Борисович, министр здравоохранения Республики Коми</w:t>
            </w:r>
          </w:p>
        </w:tc>
      </w:tr>
      <w:tr w:rsidR="00934BFB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Мария Антоновна, Заместитель министра здравоохранения Республики Коми</w:t>
            </w:r>
          </w:p>
        </w:tc>
      </w:tr>
      <w:tr w:rsidR="00934BFB">
        <w:trPr>
          <w:trHeight w:hRule="exact" w:val="716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 Российской Федерации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здравоохранения", Государственная программа Республики Коми "Развитие здравоохранения"</w:t>
            </w:r>
          </w:p>
        </w:tc>
      </w:tr>
      <w:tr w:rsidR="00934BFB">
        <w:trPr>
          <w:trHeight w:hRule="exact" w:val="242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2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43"/>
        </w:trPr>
        <w:tc>
          <w:tcPr>
            <w:tcW w:w="287" w:type="dxa"/>
            <w:shd w:val="clear" w:color="auto" w:fill="auto"/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859" w:type="dxa"/>
            <w:gridSpan w:val="5"/>
            <w:shd w:val="clear" w:color="auto" w:fill="auto"/>
          </w:tcPr>
          <w:p w:rsidR="00934BFB" w:rsidRDefault="00045F7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472" w:type="dxa"/>
            <w:gridSpan w:val="33"/>
            <w:shd w:val="clear" w:color="auto" w:fill="auto"/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934BFB">
        <w:trPr>
          <w:trHeight w:hRule="exact" w:val="287"/>
        </w:trPr>
        <w:tc>
          <w:tcPr>
            <w:tcW w:w="10889" w:type="dxa"/>
            <w:gridSpan w:val="26"/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  <w:tc>
          <w:tcPr>
            <w:tcW w:w="860" w:type="dxa"/>
            <w:gridSpan w:val="4"/>
            <w:shd w:val="clear" w:color="auto" w:fill="auto"/>
          </w:tcPr>
          <w:p w:rsidR="00934BFB" w:rsidRDefault="00045F7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1</w:t>
            </w:r>
          </w:p>
        </w:tc>
        <w:tc>
          <w:tcPr>
            <w:tcW w:w="3869" w:type="dxa"/>
            <w:gridSpan w:val="9"/>
            <w:shd w:val="clear" w:color="auto" w:fill="auto"/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934BFB">
        <w:trPr>
          <w:trHeight w:hRule="exact" w:val="143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934BFB">
        <w:trPr>
          <w:trHeight w:hRule="exact" w:val="150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 обеспечение охвата всех граждан профилактическими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медицинскими осмотрами не реже одного раза в год;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уры записи на прием к врачу; формирование системы защиты прав пациентов (Республика Коми)</w:t>
            </w:r>
          </w:p>
        </w:tc>
      </w:tr>
      <w:tr w:rsidR="00934BFB">
        <w:trPr>
          <w:trHeight w:hRule="exact" w:val="430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012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показателя</w:t>
            </w:r>
          </w:p>
        </w:tc>
        <w:tc>
          <w:tcPr>
            <w:tcW w:w="229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934BFB">
        <w:trPr>
          <w:trHeight w:hRule="exact" w:val="430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4012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934BFB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Отсутствует показатель федерального проекта</w:t>
            </w:r>
          </w:p>
        </w:tc>
      </w:tr>
      <w:tr w:rsidR="00934BFB">
        <w:trPr>
          <w:trHeight w:hRule="exact" w:val="71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населения, ПРОМИЛЛЕ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11,8000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11,7000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11,3000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10,7000</w:t>
            </w:r>
          </w:p>
        </w:tc>
      </w:tr>
      <w:tr w:rsidR="00934BFB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</w:t>
            </w:r>
          </w:p>
        </w:tc>
      </w:tr>
      <w:tr w:rsidR="00934BFB">
        <w:trPr>
          <w:trHeight w:hRule="exact" w:val="975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осмотры, МЛН ЧЕЛ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0,3610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0,3780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0,3900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0,4310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0,4770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0,5550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</w:tr>
      <w:tr w:rsidR="00934BFB">
        <w:trPr>
          <w:trHeight w:hRule="exact" w:val="1762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13,4000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14,5000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15,6000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16,7000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17,8000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18,9000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20,0000</w:t>
            </w:r>
          </w:p>
        </w:tc>
      </w:tr>
      <w:tr w:rsidR="00934BFB">
        <w:trPr>
          <w:trHeight w:hRule="exact" w:val="245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</w:tr>
      <w:tr w:rsidR="00934BFB">
        <w:trPr>
          <w:trHeight w:hRule="exact" w:val="1763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медицинских организаций, участвующих в создании и тиражировании «Новой модели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медицинской организации, оказывающей первичную медико-санитарную помощь», ЕД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24,0000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39,0000</w:t>
            </w:r>
          </w:p>
        </w:tc>
      </w:tr>
      <w:tr w:rsidR="00934BFB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</w:t>
            </w:r>
          </w:p>
        </w:tc>
      </w:tr>
      <w:tr w:rsidR="00934BFB">
        <w:trPr>
          <w:trHeight w:hRule="exact" w:val="124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31.10.2018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46,0000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65,0000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</w:tr>
      <w:tr w:rsidR="00934BFB">
        <w:trPr>
          <w:trHeight w:hRule="exact" w:val="1762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57,0000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69,5000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73,5000</w:t>
            </w:r>
          </w:p>
        </w:tc>
      </w:tr>
      <w:tr w:rsidR="00934BFB">
        <w:trPr>
          <w:trHeight w:hRule="exact" w:val="20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03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97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 представителя, телефон, терминал для связи со страховым представителем)</w:t>
            </w:r>
          </w:p>
        </w:tc>
      </w:tr>
      <w:tr w:rsidR="00934BFB">
        <w:trPr>
          <w:trHeight w:hRule="exact" w:val="1677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</w:t>
            </w:r>
          </w:p>
        </w:tc>
        <w:tc>
          <w:tcPr>
            <w:tcW w:w="4012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 представителя, телефон, терминал для связи со страховым представителем), ПРОЦ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3,6000</w:t>
            </w:r>
          </w:p>
        </w:tc>
        <w:tc>
          <w:tcPr>
            <w:tcW w:w="11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21,8000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32,7000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40,0000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45,5000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50,9000</w:t>
            </w:r>
          </w:p>
        </w:tc>
      </w:tr>
      <w:tr w:rsidR="00934BFB">
        <w:trPr>
          <w:trHeight w:hRule="exact" w:val="1676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4012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8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1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14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</w:tr>
      <w:tr w:rsidR="00934BFB">
        <w:trPr>
          <w:trHeight w:hRule="exact" w:val="124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1.8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менее, ЧЕЛ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121,0000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162,0000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151,0000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177,0000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215,0000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233,0000</w:t>
            </w:r>
          </w:p>
        </w:tc>
      </w:tr>
      <w:tr w:rsidR="00934BFB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</w:t>
            </w:r>
          </w:p>
        </w:tc>
      </w:tr>
      <w:tr w:rsidR="00934BFB">
        <w:trPr>
          <w:trHeight w:hRule="exact" w:val="974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1.9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Тысяча посещений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7,2000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</w:tr>
      <w:tr w:rsidR="00934BFB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</w:tr>
      <w:tr w:rsidR="00934BFB">
        <w:trPr>
          <w:trHeight w:hRule="exact" w:val="1505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1.10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вылеты, ПРОЦ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83,5000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</w:tr>
      <w:tr w:rsidR="00934BFB">
        <w:trPr>
          <w:trHeight w:hRule="exact" w:val="133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573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Результаты регионального проекта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759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Задача национального проекта (справочно из паспорта федерального проекта):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ительства врачебных амбулаторий, фельдшерских и фельдшерско-акушерских пунктов в населенных пунктах с численностью населения от 100 человек до 2 тыс. человек, а также с учетом использования мобильных медицинских комплексов в населенных пунктах с численност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ью населения менее 100 человек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</w:tr>
      <w:tr w:rsidR="00934BFB">
        <w:trPr>
          <w:trHeight w:hRule="exact" w:val="236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Созданы/заменены более 1550 новых фельдшерских, фельдшерско-акушерских пунктов, врачебных амбулаторий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исполнительной власти субъектов Российской Федерации в течение 2019 года: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за счет средств региональных бюджетов будут подготовлены участки для создания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или замены фельдшерских, фельдшерско-акушерских пунктов, врачебных амбулаторий и подведены коммуникации, проведены мероприятия по обеспечению фельдшерских, фельдшерско-акушерских пунктов и врачебных амбулаторий медицинским персоналом;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будут проведены конк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урсные процедуры и заключены государственные контракты для создания более 350 фельдшерских, фельдшерско-акушерских пунктов, врачебных амбулаторий;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осуществлены мероприятия к получению лицензии на осуществление медицинской деятельности.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олнительной власти субъектов Российской Федерации в первой половине 2020 года будут: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за счет средств региональных бюджетов подготовлены участки для создания фельдшерских, фельдшерско-акушерских пунктов, врачебных амбулаторий и подведены коммуникации, пров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едены мероприятия по обеспечению фельдшерских, фельдшерско-акушерских пунктов и врачебных амбулаторий медицинским персоналом;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проведены конкурсные процедуры и заключены государственные контракты для замены более 1 200 фельдшерских, фельдшерско-акушерских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пунктов, врачебных амбулаторий.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Созданные фельдшерские, фельдшерско-акушерские пункты, врачебные амбулатории будут подготовлены к получению лицензии на осуществление медицинской деятельности.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31.12.2020</w:t>
            </w:r>
          </w:p>
          <w:p w:rsidR="00934BFB" w:rsidRDefault="00934BFB"/>
        </w:tc>
      </w:tr>
      <w:tr w:rsidR="00934BFB">
        <w:trPr>
          <w:trHeight w:hRule="exact" w:val="236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86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Органами исполнительной власти Республики Коми в первой половине 2020года будут: за счет средств республиканского бюджета Республики Коми подготовленыучастки для создания фельдшерско- акушерских пунктов и подведены коммуникации, проведены мероприятия по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еспечению фельдшерско-акушерских пунктов медицинскимперсоналом;проведены конкурсные процедуры и заключены государственные контрактыдля замены более 5 фельдшерско-акушерских пунктов. Созданные фельдшерско-акушерские пункты будут подготовлены к получениюлице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нзии на осуществление медицинской деятельности.</w:t>
            </w:r>
          </w:p>
          <w:p w:rsidR="00934BFB" w:rsidRDefault="00934BFB"/>
        </w:tc>
      </w:tr>
      <w:tr w:rsidR="00934BFB">
        <w:trPr>
          <w:trHeight w:hRule="exact" w:val="249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31.12.2019 - 0 шт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31.12.2020 - 6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58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21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ичную медико-санитарную помощь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 xml:space="preserve">Органы исполнительной власти субъектов Российской Федерации обеспечат в 2019 году принятие в соответствии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с положениями Градостроительного кодекса Российской Федерации нормативных правовых актов субъектов Российской Федерации об утверждении схем территориального планирования субъектов Российской Федерации, в которые включены сведения о существующих и планируем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31.12.2020</w:t>
            </w:r>
          </w:p>
          <w:p w:rsidR="00934BFB" w:rsidRDefault="00934BFB"/>
        </w:tc>
      </w:tr>
      <w:tr w:rsidR="00934BFB">
        <w:trPr>
          <w:trHeight w:hRule="exact" w:val="163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схемы территориального планирования 85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Министерство строительства и дорожного хозяйстваРеспублики Коми обеспечит в 2020 году принятие в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вии с положениямиГрадостроительного кодекса Российской Федерации нормативных правовых актовРеспублики Коми об утверждении схем территориального планирования РеспубликиКоми, в которые включены сведения о существующих и планируемых для размещениямедицинских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организациях, оказывающих первичную медико-санитарную помощь, в томчисле в виде карт.</w:t>
            </w:r>
          </w:p>
          <w:p w:rsidR="00934BFB" w:rsidRDefault="00934BFB"/>
        </w:tc>
      </w:tr>
      <w:tr w:rsidR="00934BFB">
        <w:trPr>
          <w:trHeight w:hRule="exact" w:val="118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31.12.2020 - 1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50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173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омобиле скорой медицинской помощи.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Органами исполнительной власти субъектов Российской Федерации по согласованию с Минздравом России в 2019 году будет определена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субъектов Российской Федерации, или с использованием механизмов государственно-частного партнерства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, или с привлечением средств инвесторов), при необходимости будут приняты нормативные правовые акты субъектов Российской Федерации.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Также в 2019 году и в первой половине 2020 года будет завершен подготовительный этап работ по строительству/реконструкции 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 строительство/реконструкцию).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До конца 2020 года будут выполнены работы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 строительству/рекон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струкции вертолетных площадок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или развертыванию сборно-разборных мобильных посадочных комплексов.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31.12.2020</w:t>
            </w:r>
          </w:p>
          <w:p w:rsidR="00934BFB" w:rsidRDefault="00934BFB"/>
        </w:tc>
      </w:tr>
      <w:tr w:rsidR="00934BFB">
        <w:trPr>
          <w:trHeight w:hRule="exact" w:val="171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согласованию с Минздравом России в 2019 году будетопределена потребность в данном виде работ, осуществлён выбор местоположениявертолетных площадок, будут определены источники финансирования (за счетсредств бюджетов субъектов Российской Федерации,или с испо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льзованием механизмов государственно-частного партнерства, или спривлечением средств инвесторов), при необходимости будут приняты нормативныеправовые акты Республики Коми.Также в 2019 году и в первой половине 2020 года будет завершенподготовительный этап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абот по строительству/реконструкции вертолетных площадокили развертыванию сборно-разборных мобильных посадочных комплексов (выборучастка, определение подрядчика, разработка и согласование ПСДна строительство/реконструкцию).До конца 2020 года будут выполнен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 работы по строительству/реконструкции вертолетных площадок или развертыванию сборно-разборных мобильных посадочных комплексов.</w:t>
            </w:r>
          </w:p>
          <w:p w:rsidR="00934BFB" w:rsidRDefault="00934BFB"/>
        </w:tc>
      </w:tr>
      <w:tr w:rsidR="00934BFB">
        <w:trPr>
          <w:trHeight w:hRule="exact" w:val="19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0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36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24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Функционируют более 500 мобильных медицинских комплексов, приобретенных в 2020 году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23 субъектах Российской Федерации в первом квартале 2021 года будут разработаны и утверждены планы-графики работы передвижных медицинских комплексов, в том числе 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в населенных пунктах до 100 человек. 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Органами исполнительной власти субъектов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Федерации будет обеспечено выполнение утвержденных планов-графиков работы. 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из паспорта федерального проекта): 31.12.2021</w:t>
            </w:r>
          </w:p>
          <w:p w:rsidR="00934BFB" w:rsidRDefault="00934BFB"/>
        </w:tc>
      </w:tr>
      <w:tr w:rsidR="00934BFB">
        <w:trPr>
          <w:trHeight w:hRule="exact" w:val="86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более 500 мобильных медицинских комплексов, приобретенных в 2020 году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первом квартале 2021 года будут разработаны иутверждены планы-графики работы передвижных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медицинских комплексов, в том числев населенных пунктах до 100 человек. Минздравом республики Коми будет обеспечено выполнение утвержденныхпланов-графиков работы. Будет обеспечена доступность первичной медико-санитарной помощи для всехграждан, проживающих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населенных пунктах с числом жителей до 100 человек вэтих регионах.</w:t>
            </w:r>
          </w:p>
          <w:p w:rsidR="00934BFB" w:rsidRDefault="00934BFB"/>
        </w:tc>
      </w:tr>
      <w:tr w:rsidR="00934BFB">
        <w:trPr>
          <w:trHeight w:hRule="exact" w:val="169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31.12.2021 - 23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47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79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197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Приобретено более 1300 мобильных медицинских комплексов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&amp;quot" w:eastAsia="&amp;quot" w:hAnsi="&amp;quot" w:cs="&amp;quot"/>
                <w:spacing w:val="-2"/>
                <w:sz w:val="24"/>
                <w:szCs w:val="24"/>
              </w:rPr>
              <w:t>​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Органами государственной влас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ти 34 субъектов Российской Федерации в течение первого полугодия 2019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 xml:space="preserve"> диспансеризации и профилактических осмотров, будут проведены конкурсные процедуры и заключены договоры на поставку передвижных медицинских комплексов.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Приобретенные передвижные медицинские комплексы,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до конца 2019 года будут переданы в медицинские организ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ации.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Органами государственной власти 23 субъектов Российской Федерации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итарной помощи, проведения диспансеризации, профилактических осмотров, заключены договоры на поставку передвижных медицинских комплексов. Приобретенные передвижные медицинские комплексы до конца 2020 года будут переданы в медицинские организации.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Органам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 государственной власти 24 субъектов Российской Федерации в первой половине 2021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, проведения диспансеризации и профилактических осмотров, заключены договоры на поставку передвижных медицинских комплексов. 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Приобретенные передвижные медицинские комплексы до конца 2021 года будут переданы в медицинские организации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аспорта федерального проекта): 31.12.2021</w:t>
            </w:r>
          </w:p>
          <w:p w:rsidR="00934BFB" w:rsidRDefault="00934BFB"/>
        </w:tc>
      </w:tr>
      <w:tr w:rsidR="00934BFB">
        <w:trPr>
          <w:trHeight w:hRule="exact" w:val="197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86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в первом полугодии 2020 года будутопределены медицинские организации, в которые планируется поставка передвижныхмедицинских комплексов для оказания доврачебной и врачебной медико-санитарнойпомощи, проведения диспансеризации, проф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илактических осмотров, заключеныдоговоры на поставку передвижных медицинских комплексов. Приобретенные передвижные медицинские комплексы до конца 2020 года будутпереданы в медицинские организации Республики Коми.</w:t>
            </w:r>
          </w:p>
          <w:p w:rsidR="00934BFB" w:rsidRDefault="00934BFB"/>
        </w:tc>
      </w:tr>
      <w:tr w:rsidR="00934BFB">
        <w:trPr>
          <w:trHeight w:hRule="exact" w:val="196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31.12.2020 - 23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61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60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220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Созданы региональные системы диспетчеризации скорой медицинской помощи, в рамках решения задачи 1.4 федерального проекта "Создание единого цифрового контура в здравоохранении на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снове единой государственной информационной системы здравоохранения (ЕГИСЗ)"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Во всех субъектах Российской Федерации в 2021 году с целью повышения эффективности ра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автоматизировать процессы приема и распределения вызовов.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Достижение указанных результатов обеспечивается в рамк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ах решения задачи 1.4. федерального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31.12.2021</w:t>
            </w:r>
          </w:p>
          <w:p w:rsidR="00934BFB" w:rsidRDefault="00934BFB"/>
        </w:tc>
      </w:tr>
      <w:tr w:rsidR="00934BFB">
        <w:trPr>
          <w:trHeight w:hRule="exact" w:val="86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егиональные системы диспетчеризации скорой медицинской помощи***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2021 году с целью повышения эффективности работы иоперативности реагирования санитарной авиации будут проведены работы повнедрению автоматизированных систем дис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петчеризации, позволяющихавтоматизировать процессы приема и распределения вызовов. Достижение указанных результатов обеспечивается в рамках решения задачи 3.1.регионального проекта «Создание единого цифрового контура в здравоохранении наоснове единой госуд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арственной информационной системы здравоохранения (ЕГИСЗ)»</w:t>
            </w:r>
          </w:p>
          <w:p w:rsidR="00934BFB" w:rsidRDefault="00934BFB"/>
        </w:tc>
      </w:tr>
      <w:tr w:rsidR="00934BFB">
        <w:trPr>
          <w:trHeight w:hRule="exact" w:val="196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31.12.2021 - 1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192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Характеристика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зультата федерального проекта (справочно из паспорта федерального проекта): ​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Минздравом России разработана типовая стратегия развития санитарной авиации.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 основании типовой стратегии субъектами Российской Федерации, участвующими в реализации мероприятий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, разработаны и утверждены региональные стратегии развития санитарной авиации на период до 2024 года. 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Субъектами Российской Федерации, участвующими в реализации мероприятия, в период с 2019 по 2024 годы будут заключены государственные контракты на закупк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 авиационных работ в целях оказания медицинской помощи, что позволит в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ыполнить за 2019 год дополнительно не менее чем 7 500 вылетов и эвакуировать не менее 9 800 пациентов, нуждающихся в оказании скорой специализированной помощи, в 2020 году выполнить </w:t>
            </w:r>
            <w:r>
              <w:rPr>
                <w:rFonts w:ascii="&amp;quot" w:eastAsia="&amp;quot" w:hAnsi="&amp;quot" w:cs="&amp;quot"/>
                <w:spacing w:val="-2"/>
                <w:sz w:val="25"/>
                <w:szCs w:val="25"/>
              </w:rPr>
              <w:t>дополнительно не менее чем 8 500 вылетов и эвакуировать не менее 10 600 пациентов, в 2021 году в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ыполнить дополнительно не менее чем 9 500 вылетов и эвакуировать не менее 11 700 пациентов, в 2022 году выполнить дополнительно не менее чем 10 500 вылетов и эв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акуировать не менее 13 000 пациентов, в 2023 году выполнить дополнительно не менее чем 11 500 вылетов и эвакуировать не менее 14 200 пациентов, а 2024 году выполнить дополнительно не менее чем 12 500 вылетов и эвакуировать не менее 15 500 пациентов.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(справочно из паспорта федерального проекта): 31.12.2024</w:t>
            </w:r>
          </w:p>
          <w:p w:rsidR="00934BFB" w:rsidRDefault="00934BFB"/>
        </w:tc>
      </w:tr>
      <w:tr w:rsidR="00934BFB">
        <w:trPr>
          <w:trHeight w:hRule="exact" w:val="19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10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основании типовой стратегии разработанной Минздравом России, ПравительствомРеспублики Коми будут разработана и утверждена региональная стратегия развитиясанитарной авиации на период до 2024 года. Минздравом Республики Коми, будет заключен государственны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контракт назакупку авиационных работ в целях оказания медицинской помощи.Выполненные за 2019 год дополнительно не менее чем 117вылетов позволят дополнительно эвакуировать в 2019 году не менее 162 пациентов,нуждающихся в оказании скорой специализированной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помощи.Выполненные за 2020 год дополнительно не менее чем 109 вылетов позволят дополнительно эвакуировать в 2020году не менее 151 пациента, нуждающихся в оказании скорой специализированнойпомощи.Выполненные за 2021 год дополнительно не менее чем 128 вылет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 позволят дополнительно эвакуировать в 2021году не менее 177 пациента, нуждающихся в оказании скорой специализированнойпомощи.Выполненные за 2022 год дополнительно не менее чем 142 вылетов позволят дополнительно эвакуировать в 2022году не менее 196 </w:t>
            </w:r>
          </w:p>
          <w:p w:rsidR="00934BFB" w:rsidRDefault="00934BFB"/>
        </w:tc>
      </w:tr>
      <w:tr w:rsidR="00934BFB">
        <w:trPr>
          <w:trHeight w:hRule="exact" w:val="232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31.12.2019 - 117 ЕД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31.12.2020 - 109 ЕД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31.12.2021 - 128 ЕД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31.12.2022 - 142 ЕД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31.12.2023 - 156 ЕД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31.12.2024 - 169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30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пациентов, нуждающихся в оказании скорой специализированнойпомощи.Выполненные за 2023 год дополнительно не менее чем 156 вылетов позволят дополнительно эвакуировать в 2023году не менее 215 пациентов, нуждающихся в оказании скорой специализированнойпомощи.В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ыполненные за 2024 год дополнительно не менее чем 169 вылетов позволят дополнительно эвакуировать в 2024году не менее 233 пациентов, нуждающихся в оказании скорой специализированнойпомощи.</w:t>
            </w:r>
          </w:p>
          <w:p w:rsidR="00934BFB" w:rsidRDefault="00934BFB"/>
        </w:tc>
      </w:tr>
      <w:tr w:rsidR="00934BFB">
        <w:trPr>
          <w:trHeight w:hRule="exact" w:val="286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16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2149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57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Задача национального проекта (справочно из паспорта федерального проекта):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низации, упрощение процедуры записи на прием к врачу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</w:tr>
      <w:tr w:rsidR="00934BFB">
        <w:trPr>
          <w:trHeight w:hRule="exact" w:val="26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 85 субъектах Российской Федерации созданы региональные проектные офисы по созданию и внедрению "Новой модели медицинск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организации, оказывающей первичную медико-санитарную помощь"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 85 субъектах Российской Федерации в первом квартале 2019 года будут приняты нормативные правовые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акты, регламентирующие создание региональных проектных офисов.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Субъектами Российской Федерации будут созданы региональные проектные офисы, на которые нормативными правовыми актами будут возложены функции по методической поддержке и координации работы меди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цинских организаций, образовательных организаций, территориальных фондов ОМС, территориальных органов Росздравнадзора по проведению анализа организации первичной медико-санитарной помощи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 субъектах Российской Федерации, участвовать в разработке мер по уст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ранению типовых проблем в медицинских организациях – участниках проекта, организации апробации принципов бережливого производства, создании «Новой модели медицинской организации», осуществлять сбор информации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от медицинских организаций, участвующих в проекте,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для представления в ЦПМСП, обеспечивать тиражирование лучших практик в границах субъекта Российской Федерации.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30.05.2019</w:t>
            </w:r>
          </w:p>
          <w:p w:rsidR="00934BFB" w:rsidRDefault="00934BFB"/>
        </w:tc>
      </w:tr>
      <w:tr w:rsidR="00934BFB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85 субъектах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РеспубликеКоми будут приняты нормативные правовые акты, регламентирующие созданиереги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ональных проектных офисов по созданию ивнедрению «Новой модели медицинской организации, оказывающей первичнуюмедико-санитарную помощь». В Республике Коми будет создан региональные проектныйофис, на который нормативными правовыми актами будут возложены функ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пометодической поддержке и координации работы медицинских организаций,образовательных организаций, территориальных фондов ОМС по проведению анализаорганизации первичной медико-санитарной помощи в Республике Коми, участвовать вразработке мер по устранен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ию типовых проблем в медицинских организациях –участниках проекта, организации апробации принципов бережливого производства,создании «Новой модели медицинской организации», осуществлять сбор информации отмедицинских организаций, участвующих в проекте,для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редставления в ЦПМСП, обеспечивать тиражирование лучших практик в границахсубъекта Российской Федерации.</w:t>
            </w:r>
          </w:p>
          <w:p w:rsidR="00934BFB" w:rsidRDefault="00934BFB"/>
        </w:tc>
      </w:tr>
      <w:tr w:rsidR="00934BFB">
        <w:trPr>
          <w:trHeight w:hRule="exact" w:val="19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15.05.2019 - 1 ЕД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0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59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1562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нный вид помощи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Noto Sans, sans-serif" w:eastAsia="Noto Sans, sans-serif" w:hAnsi="Noto Sans, sans-serif" w:cs="Noto Sans, sans-serif"/>
                <w:spacing w:val="-2"/>
                <w:sz w:val="24"/>
                <w:szCs w:val="24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 85 субъектах Российской Федерации будут утверждены перечни медицинских организаций, участвующих в создании и тиражировании «Новой модели медицин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ской организации, оказывающей первичную медико-санитарную помощь» на основании описания, разработанного ЦПМСП.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 методической поддержке ЦПСМП в медицинских организациях будут проведены мероприятия по внедрению «Новая модель медицинской организации, оказ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ывающей первичную медико-санитарную помощь». 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Сведения о реализованных проектах будут представлены органами исполнительной власти субъектов Российской Федерации в Минздрав России. 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ЦПМСП на основании представленной информации проведет доработку критериев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«Новой модели медицинской организации, оказывающей первичную медико-санитарную помощь».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31.12.2024</w:t>
            </w:r>
          </w:p>
          <w:p w:rsidR="00934BFB" w:rsidRDefault="00934BFB"/>
        </w:tc>
      </w:tr>
      <w:tr w:rsidR="00934BFB">
        <w:trPr>
          <w:trHeight w:hRule="exact" w:val="154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Республике Коми всозданиии тиражировании «Новой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модели медицинской организации, оказывающей первичнуюмедико-санитарную помощь» к 2024 году участвуют не менее 55,0 % медицинскихорганизаций, оказывающих данный вид помощи</w:t>
            </w:r>
          </w:p>
          <w:p w:rsidR="00934BFB" w:rsidRDefault="00934BFB"/>
        </w:tc>
      </w:tr>
      <w:tr w:rsidR="00934BFB">
        <w:trPr>
          <w:trHeight w:hRule="exact" w:val="174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31.12.2019 - 23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31.12.2020 - 34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31.12.2021 - 41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31.12.2022 - 46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31.12.2023 - 52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31.12.2024 - 55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0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89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Задача национального проекта (справочно из паспорта федерального проекта): Формирование системы защиты прав пациентов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</w:tr>
      <w:tr w:rsidR="00934BFB">
        <w:trPr>
          <w:trHeight w:hRule="exact" w:val="18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Обеспечен 100,0% охват застрахованных лиц информирован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ием страховыми медицинскими представителями о праве на прохождение профилактического медицинского осмотра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>​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Страховые медицинские организации проинформируют застрах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ованных лиц старше 18 лет о праве на прохождение профилактического медицинского осмотра. Будет обеспечен охват граждан профилактическими медицинскими осмотрами.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31.12.2024</w:t>
            </w:r>
          </w:p>
          <w:p w:rsidR="00934BFB" w:rsidRDefault="00934BFB"/>
        </w:tc>
      </w:tr>
      <w:tr w:rsidR="00934BFB">
        <w:trPr>
          <w:trHeight w:hRule="exact" w:val="110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ормируютв 2019 году 44,8 %, в 2020 году 49,0%, в 2021 году66,8 %, в 2022 году 76,7 %, в 2023 году 90,8 %,в 2024 году 100 %застрахованных лиц старше 18 лет о праве на прохождениепрофилактического медицинского осмотра. Обеспечен охват гражданпрофилактическим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медицинскими осмотрами: в 2019 годуне менее 44,0 %, в 2020 годуне менее 48,2 %, в 2021 годуне менее 53,4 %, в 2022 годуне менее 59,6 %, в 2023 годуне менее 65,0 %, в 2024 годуне менее 70,0 %.</w:t>
            </w:r>
          </w:p>
          <w:p w:rsidR="00934BFB" w:rsidRDefault="00934BFB"/>
        </w:tc>
      </w:tr>
      <w:tr w:rsidR="00934BFB">
        <w:trPr>
          <w:trHeight w:hRule="exact" w:val="174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31.12.2019 - 44.8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31.12.2020 - 49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31.12.2021 - 66.8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31.12.2022 - 76.7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31.12.2023 - 90.8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31.12.2024 - 100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4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2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/>
        </w:tc>
      </w:tr>
      <w:tr w:rsidR="00934BFB">
        <w:trPr>
          <w:trHeight w:hRule="exact" w:val="157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Собственные результаты</w:t>
            </w:r>
          </w:p>
          <w:p w:rsidR="00934BFB" w:rsidRDefault="00934BFB"/>
        </w:tc>
      </w:tr>
      <w:tr w:rsidR="00934BFB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распорядительными актами Минздрава Республики Коми будут утверждены планы-графики включения медицинских организаций впроцесс создания и тиражирования «Новой модели медицинской организации,оказывающей первичную медико-санитарную помощь»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основании описания,разработанного ЦПМСП.При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медицинскойорганизации, оказывающей первичную медико-са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нитарную помощь», в ранее включенных медицинских организациях мероприятия продолжены. Сведения о реализованных проектах будут представлены Минздравом Республики Коми в Минздрав России.</w:t>
            </w:r>
          </w:p>
          <w:p w:rsidR="00934BFB" w:rsidRDefault="00934BFB"/>
        </w:tc>
      </w:tr>
      <w:tr w:rsidR="00934BFB">
        <w:trPr>
          <w:trHeight w:hRule="exact" w:val="277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31.12.2019 - 23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31.12.2020 - 34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31.12.2021 - 41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31.12.2022 - 46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31.12.2023 - 52 ПРОЦ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31.12.2024 - 55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86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23 мобильных медицинских комплекса (Республика Коми)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рофилактических осмотров, заключены договоры на поставку передвижных медицинских комплексов. 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 w:rsidR="00934BFB" w:rsidRDefault="00934BFB"/>
        </w:tc>
      </w:tr>
      <w:tr w:rsidR="00934BFB">
        <w:trPr>
          <w:trHeight w:hRule="exact" w:val="196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31.12.2020 - 23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03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34BFB">
        <w:trPr>
          <w:trHeight w:hRule="exact" w:val="85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6 новых фельдшерско-акушерских пунктов (Республика Коми)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/>
        </w:tc>
      </w:tr>
      <w:tr w:rsidR="00934BFB">
        <w:trPr>
          <w:trHeight w:hRule="exact" w:val="57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31.12.2020 - 6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7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2.4</w:t>
            </w:r>
          </w:p>
        </w:tc>
        <w:tc>
          <w:tcPr>
            <w:tcW w:w="7021" w:type="dxa"/>
            <w:gridSpan w:val="15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хованных лиц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страховыми медицинскими организациями в2021 году открыты офисы (представительства) по защите прав застрахованных лиц. В целях оценки условий пребывания пациентов в медицинскихорганизациях, предотвращения рисков взи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мания платы за гарантированнуюбесплатную помощь в медицинских организациях, оказывающих в рамкахобязательного медицинского страхования первичную медико-санитарную помощь, набазе медицинских организаций Республики Коми страховыми медицинскимиорганизациями 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удут созданы каналы оперативной связи граждан со страховымипредставителями страховых медицинских организаций – 3,6 % в 2019 году, 21,8 % в2020 году, 32,7 % в 2021 году, 40,0 % в 2022 году, 45,5 % в 2023 году, 50,9 % в2024 году.Страховыми медицинскими орган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изациями Республики Комив 2019 – 2024 годах будет осуществляться досудебное урегулирование претензийзастрахованных лиц к медицинским организациям по результатам оказания иммедицинской помощи. Будут урегулированы страховыми медицинскими организациямиРеспубл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ики Коми в досудебном порядке 53,0 % в 2019 году, 57,0% в 2020 году, 61,5%в 2021 году, 65,5% в 2022 году, 69,5% в 2023 году, 73,5% в 2024 годуобоснованных жалоб пациентов от общего количества поступивших жалоб.</w:t>
            </w:r>
          </w:p>
          <w:p w:rsidR="00934BFB" w:rsidRDefault="00934BFB"/>
        </w:tc>
      </w:tr>
      <w:tr w:rsidR="00934BFB">
        <w:trPr>
          <w:trHeight w:hRule="exact" w:val="14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31.12.2021 - 1 -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31.12.2022 - 1 -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31.12.2023 - 1 -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31.12.2024 - 1 -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0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9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44"/>
        </w:trPr>
        <w:tc>
          <w:tcPr>
            <w:tcW w:w="860" w:type="dxa"/>
            <w:gridSpan w:val="4"/>
            <w:shd w:val="clear" w:color="auto" w:fill="auto"/>
          </w:tcPr>
          <w:p w:rsidR="00934BFB" w:rsidRDefault="00045F7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5"/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934BFB" w:rsidRDefault="00934BFB"/>
        </w:tc>
      </w:tr>
      <w:tr w:rsidR="00934BFB">
        <w:trPr>
          <w:trHeight w:hRule="exact" w:val="429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34BFB">
        <w:trPr>
          <w:trHeight w:hRule="exact" w:val="287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34BFB">
        <w:trPr>
          <w:trHeight w:hRule="exact" w:val="430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934BFB" w:rsidRDefault="00934BFB"/>
        </w:tc>
        <w:tc>
          <w:tcPr>
            <w:tcW w:w="14615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</w:tr>
      <w:tr w:rsidR="00934BFB">
        <w:trPr>
          <w:trHeight w:hRule="exact" w:val="203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65,20</w:t>
            </w:r>
          </w:p>
        </w:tc>
      </w:tr>
      <w:tr w:rsidR="00934BFB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71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65,20</w:t>
            </w:r>
          </w:p>
        </w:tc>
      </w:tr>
      <w:tr w:rsidR="00934BFB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65,20</w:t>
            </w:r>
          </w:p>
        </w:tc>
      </w:tr>
      <w:tr w:rsidR="00934BFB">
        <w:trPr>
          <w:trHeight w:hRule="exact" w:val="97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6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34BFB">
        <w:trPr>
          <w:trHeight w:hRule="exact" w:val="286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34BFB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23 мобильных медицинских комплекса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146 776,21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146 776,21</w:t>
            </w:r>
          </w:p>
        </w:tc>
      </w:tr>
      <w:tr w:rsidR="00934BFB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71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146 776,21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146 776,21</w:t>
            </w:r>
          </w:p>
        </w:tc>
      </w:tr>
      <w:tr w:rsidR="00934BFB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146 776,21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146 776,21</w:t>
            </w:r>
          </w:p>
        </w:tc>
      </w:tr>
      <w:tr w:rsidR="00934BFB">
        <w:trPr>
          <w:trHeight w:hRule="exact" w:val="97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269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34BFB">
        <w:trPr>
          <w:trHeight w:hRule="exact" w:val="286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34BFB">
        <w:trPr>
          <w:trHeight w:hRule="exact" w:val="859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6 новых фельдшерско-акушерских пунктов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49 650,53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49 650,53</w:t>
            </w:r>
          </w:p>
        </w:tc>
      </w:tr>
      <w:tr w:rsidR="00934BFB">
        <w:trPr>
          <w:trHeight w:hRule="exact" w:val="97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71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49 650,53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49 650,53</w:t>
            </w:r>
          </w:p>
        </w:tc>
      </w:tr>
      <w:tr w:rsidR="00934BFB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49 650,53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49 650,53</w:t>
            </w:r>
          </w:p>
        </w:tc>
      </w:tr>
      <w:tr w:rsidR="00934BFB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71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934BFB" w:rsidRDefault="00934BFB"/>
        </w:tc>
        <w:tc>
          <w:tcPr>
            <w:tcW w:w="14615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</w:tr>
      <w:tr w:rsidR="00934BFB">
        <w:trPr>
          <w:trHeight w:hRule="exact" w:val="209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34BFB">
        <w:trPr>
          <w:trHeight w:hRule="exact" w:val="286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34BFB">
        <w:trPr>
          <w:trHeight w:hRule="exact" w:val="150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85,60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306,93</w:t>
            </w:r>
          </w:p>
        </w:tc>
      </w:tr>
      <w:tr w:rsidR="00934BFB">
        <w:trPr>
          <w:trHeight w:hRule="exact" w:val="97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65,64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60,43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70,35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196,41</w:t>
            </w:r>
          </w:p>
        </w:tc>
      </w:tr>
      <w:tr w:rsidR="00934BFB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71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85,60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306,93</w:t>
            </w:r>
          </w:p>
        </w:tc>
      </w:tr>
      <w:tr w:rsidR="00934BFB">
        <w:trPr>
          <w:trHeight w:hRule="exact" w:val="44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85,60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306,93</w:t>
            </w:r>
          </w:p>
        </w:tc>
      </w:tr>
      <w:tr w:rsidR="00934BFB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44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216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34BFB">
        <w:trPr>
          <w:trHeight w:hRule="exact" w:val="286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34BFB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 по региональному проекту, в том числе: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151,20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196 524,34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196 798,87</w:t>
            </w:r>
          </w:p>
        </w:tc>
      </w:tr>
      <w:tr w:rsidR="00934BFB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трансферты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65,64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60,43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70,35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196,41</w:t>
            </w:r>
          </w:p>
        </w:tc>
      </w:tr>
      <w:tr w:rsidR="00934BFB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бюджеты государственных внебюджетных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фондов Российской Федерации и их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в т.ч.: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151,20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196 524,34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196 798,87</w:t>
            </w:r>
          </w:p>
        </w:tc>
      </w:tr>
      <w:tr w:rsidR="00934BFB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151,20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196 524,34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117,33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196 798,87</w:t>
            </w:r>
          </w:p>
        </w:tc>
      </w:tr>
      <w:tr w:rsidR="00934BFB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6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43"/>
        </w:trPr>
        <w:tc>
          <w:tcPr>
            <w:tcW w:w="860" w:type="dxa"/>
            <w:gridSpan w:val="4"/>
            <w:shd w:val="clear" w:color="auto" w:fill="auto"/>
          </w:tcPr>
          <w:p w:rsidR="00934BFB" w:rsidRDefault="00045F7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5"/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Участники регионального проекта</w:t>
            </w:r>
          </w:p>
          <w:p w:rsidR="00934BFB" w:rsidRDefault="00934BFB"/>
        </w:tc>
      </w:tr>
      <w:tr w:rsidR="00934BFB">
        <w:trPr>
          <w:trHeight w:hRule="exact" w:val="57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934BFB">
        <w:trPr>
          <w:trHeight w:hRule="exact" w:val="86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 w:rsidR="00934BFB" w:rsidRDefault="00934BFB"/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934BFB">
        <w:trPr>
          <w:trHeight w:hRule="exact" w:val="141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государственной гражданской службы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717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7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7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67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23 мобильных медицинских комплекса (Республика Коми)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</w:p>
          <w:p w:rsidR="00934BFB" w:rsidRDefault="00934BFB"/>
        </w:tc>
      </w:tr>
      <w:tr w:rsidR="00934BFB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60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6 новых фельдшерско-акушерских пунктов (Республика Коми)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Гапликов С. А.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1247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в 2021 году обеспечено исполнение зак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застрахованных лиц</w:t>
            </w:r>
          </w:p>
          <w:p w:rsidR="00934BFB" w:rsidRDefault="00934BFB"/>
        </w:tc>
      </w:tr>
      <w:tr w:rsidR="00934BFB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более 500 мобильных медицинских комплексов, приобретенных в 2020 году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более 1300 мобильных медицинских комплексов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6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 региональные системы диспетчеризации скорой медицинской помощи***</w:t>
            </w:r>
          </w:p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 w:rsidR="00934BFB" w:rsidRDefault="00934BFB"/>
        </w:tc>
      </w:tr>
      <w:tr w:rsidR="00934BFB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123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равоохранения Республики Коми"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934BFB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34BFB">
        <w:trPr>
          <w:trHeight w:hRule="exact" w:val="286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447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447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558"/>
        </w:trPr>
        <w:tc>
          <w:tcPr>
            <w:tcW w:w="15618" w:type="dxa"/>
            <w:gridSpan w:val="39"/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6. Дополнительная информация</w:t>
            </w:r>
          </w:p>
        </w:tc>
      </w:tr>
      <w:tr w:rsidR="00934BFB">
        <w:trPr>
          <w:trHeight w:hRule="exact" w:val="15"/>
        </w:trPr>
        <w:tc>
          <w:tcPr>
            <w:tcW w:w="15603" w:type="dxa"/>
            <w:gridSpan w:val="38"/>
            <w:tcBorders>
              <w:bottom w:val="single" w:sz="5" w:space="0" w:color="000000"/>
            </w:tcBorders>
          </w:tcPr>
          <w:p w:rsidR="00934BFB" w:rsidRDefault="00934BFB"/>
        </w:tc>
        <w:tc>
          <w:tcPr>
            <w:tcW w:w="15" w:type="dxa"/>
          </w:tcPr>
          <w:p w:rsidR="00934BFB" w:rsidRDefault="00934BFB"/>
        </w:tc>
      </w:tr>
      <w:tr w:rsidR="00934BFB">
        <w:trPr>
          <w:trHeight w:hRule="exact" w:val="2865"/>
        </w:trPr>
        <w:tc>
          <w:tcPr>
            <w:tcW w:w="15603" w:type="dxa"/>
            <w:gridSpan w:val="3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Вклад мероприятий регионального проекта «Развитие системы оказания первичной медико-санитарной помощи»</w:t>
            </w: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(далее – федеральный проект) в достижение целей Национального проекта «Здравоохранение» (далее – национальный проект):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Целевой показатель национального проекта «доля медицин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Глоссарий:</w:t>
            </w:r>
          </w:p>
          <w:p w:rsidR="00934BFB" w:rsidRDefault="00934BF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«Новая модель медицинской организации,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оказывающей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ов доступностью и качеством медицинской помощи, эффективного использование ресурсов системы здравоохранения. 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Создание новой модели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– комплекс мероприятий, направленных на соблюдение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приоритета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комфортности условий предоставления медицинских услуг, повыше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ние удовлетворенности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сокращением бумажной документации. 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Бережливое производств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– концепция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персонала.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Справочно: научная организаци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я труда 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процессов.  При этом практическому внедрению конкр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етных мероприятий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концепции являлась схожей с принципами и философией бер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 xml:space="preserve">ежливого производства. 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Пояснения: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1–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 – кадровое обеспечение медицинских организаций, оказывающих первичную медико-санитарную помощь, осуществляется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 рамках реализации мероприятий регионального проекта «Обеспечение медицинских организаций системы здравоохранения квалифицированными кадрами».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 – упрощение процедуры записи на прием к врачу,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 – создани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 единой системы диспетчеризации скорой медицинской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</w:t>
            </w:r>
          </w:p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азатели «Доля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«Доля записей к врачу,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934BFB" w:rsidRDefault="00934BFB"/>
        </w:tc>
        <w:tc>
          <w:tcPr>
            <w:tcW w:w="15" w:type="dxa"/>
            <w:tcBorders>
              <w:left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866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" w:type="dxa"/>
            <w:tcBorders>
              <w:left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605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" w:type="dxa"/>
            <w:tcBorders>
              <w:left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90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5" w:type="dxa"/>
            <w:tcBorders>
              <w:left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232"/>
        </w:trPr>
        <w:tc>
          <w:tcPr>
            <w:tcW w:w="15603" w:type="dxa"/>
            <w:gridSpan w:val="38"/>
            <w:tcBorders>
              <w:top w:val="single" w:sz="5" w:space="0" w:color="000000"/>
            </w:tcBorders>
          </w:tcPr>
          <w:p w:rsidR="00934BFB" w:rsidRDefault="00934BFB"/>
        </w:tc>
        <w:tc>
          <w:tcPr>
            <w:tcW w:w="15" w:type="dxa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573"/>
        </w:trPr>
        <w:tc>
          <w:tcPr>
            <w:tcW w:w="11462" w:type="dxa"/>
            <w:gridSpan w:val="29"/>
          </w:tcPr>
          <w:p w:rsidR="00934BFB" w:rsidRDefault="00934BFB"/>
        </w:tc>
        <w:tc>
          <w:tcPr>
            <w:tcW w:w="4156" w:type="dxa"/>
            <w:gridSpan w:val="10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934BFB">
        <w:trPr>
          <w:trHeight w:hRule="exact" w:val="573"/>
        </w:trPr>
        <w:tc>
          <w:tcPr>
            <w:tcW w:w="11462" w:type="dxa"/>
            <w:gridSpan w:val="29"/>
          </w:tcPr>
          <w:p w:rsidR="00934BFB" w:rsidRDefault="00934BFB"/>
        </w:tc>
        <w:tc>
          <w:tcPr>
            <w:tcW w:w="4156" w:type="dxa"/>
            <w:gridSpan w:val="10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</w:tr>
      <w:tr w:rsidR="00934BFB">
        <w:trPr>
          <w:trHeight w:hRule="exact" w:val="286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286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92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92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43"/>
        </w:trPr>
        <w:tc>
          <w:tcPr>
            <w:tcW w:w="860" w:type="dxa"/>
            <w:gridSpan w:val="4"/>
            <w:shd w:val="clear" w:color="auto" w:fill="auto"/>
          </w:tcPr>
          <w:p w:rsidR="00934BFB" w:rsidRDefault="00045F7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5"/>
            <w:shd w:val="clear" w:color="auto" w:fill="auto"/>
            <w:vAlign w:val="center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934BFB">
        <w:trPr>
          <w:trHeight w:hRule="exact" w:val="717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МЕРОПРИЯТИЙ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по реализации регионального проекта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2019 году 44,8 %, в 2020 году 49,0%, в 2021 году 66,8 %, в 2022 год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 76,7 %, в 2023 году 90,8 %, в 2024 году 100 % застрахованных лиц старше 18 лет о праве на прохождение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нее 48,2 %,  в 2021 году не менее 53,4 %, в 2022 году не менее 59,6 %, в 2023 году не менее 65,0 %, в 2024 году не менее 70,0 %.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161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161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270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70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исполнительной власти субъектов Российской Федерации обеспечен охват граждан профилактическими медицинскими осмотрами не менее 41,8 %.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ставлен отчет об охвате граждан профилактическими медицинскими осмотрами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44,0 %.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67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66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48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44,8%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Республике Коми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 об информировании страховыми медицинскими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представителями граждан о праве на прохождение профилактического медицинского осмотра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53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54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прохождение профилактического медицинского осмотра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3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2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0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49,0%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Республике Коми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 об обеспечении 90,8% охвата застрахованных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19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6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48,2%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48,2 %.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49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53,4 %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53,4%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97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1.8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59,6 %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59,6%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1.9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99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1.10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65,0 %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65,0%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49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Министерством здравоохранения Республики Коми обеспечен охват граждан профилактическими медицинскими осмотрами не менее 70,0 %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 охват граждан профилактическими медицинскими осмотрами не менее 70,0%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86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848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848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оказывающей первичную медико-санитарную помощь».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образовательных организаций, территориальных фондов ОМС по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апробации принципов бережливого производства, созда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нии «Новой модели медицинской организации», осуществлять сбор информации от медицинских организаций, участвующих в проекте,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для представления в ЦПМСП, обеспечивать тиражирование лучших практик в границах субъекта Российской Федерации.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Принято решение о создании (реорганизации) организации (структурного подразделения)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направлена в Минздрав России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Принято решение о создании регионального проектного офиса по созданию и внедрению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61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Обеспечена организация деятельности организации (структурного подразделения) (структура управления и кадры)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отчеты о структуре, кадровом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обеспечении и организации деятельности регионального центра первичной медико-санитарной помощи.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организация деятельности регионального проектного офиса по созданию и внедрению «Новой модели медицинской организации, оказывающей первичную медико-санитарную помощь» (структура управления и кадры)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Приказ Министерства здравоохранения Республики Коми по созданию регионального проектного офиса по созданию и внедрению «Новой модели медицинской организации, оказывающей первичную медико-санитарную помощь»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организации, оказывающей первичную медико-санитарную помощь» на основании описания, разработанного ЦПМСП.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 методической поддержке ЦПСМП в медицинских организациях будут проведены мероприятия по внедрению во вновь включаемых медицинских организациях «Н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Сведения о реализованных проектах будут представлены Минздравом Республики Коми в Минздрав России. 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40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39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0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6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16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7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24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0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2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6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3.6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29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82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97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96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3.8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33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80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3.9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6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3.10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37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7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6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3.12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помощь», участвуют 39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47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</w:t>
            </w:r>
            <w:r>
              <w:rPr>
                <w:rFonts w:ascii="&amp;quot" w:eastAsia="&amp;quot" w:hAnsi="&amp;quot" w:cs="&amp;quot"/>
                <w:spacing w:val="-2"/>
                <w:sz w:val="16"/>
                <w:szCs w:val="16"/>
              </w:rPr>
              <w:t>оми об утверждении схем территориального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146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первичн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ую медико-санитарную помощь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об утверждении схемы территориального планирования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первичную медик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о-санитарную помощь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04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7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нения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единой государственной информационной системы в сфере здравоохранения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6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здравоохранени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Г., Директор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1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Проведено исследование по вопросу формирования и (или) тематике акта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Минздрав России предоставлена информация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80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проведен анализ утвержденной схемы территориального планирования на предмет отражения в ней всех существующих и планируемых к созданию медицинских организаций и их структурных подразделений, оказывающих первичную медико-санитарну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 помощь. Принято решение о необходимости внесения изменения в утвержденную схему территориального планирования.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Исходящее письмо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Акт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80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учтены все существующие и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анируемые медицинские организации и их структурные подразделения, оказывающие первичную медико-санитарную помощь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47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4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4.5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Акт вступил в силу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Федерации, в которой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отражены все существующие и планируемые медицинские организации и их структурные подразделения, оказывающие первичную медико-санитарную помощь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46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0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Вступило в силу Постановление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отражены все существующие и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анируемые медицинские организации и их структурные подразделения, оказывающие первичную медико-санитарную помощь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83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12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23 мобильных медицинских комплекса (Республика Коми)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Минздравом Республики Коми в первом полугодии 2020 года будут определены медицинские организации, в которые п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ланируется поставка передвижных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Приобретенные пе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редвижные медицинские комплексы до конца 2020 года будут переданы в медицинские организации Республики Коми.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21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3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Министерством здравоохранения Республики Коми предоставлен отчет об использовании межбюджетных трансфертов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РП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РП</w:t>
            </w:r>
          </w:p>
        </w:tc>
      </w:tr>
      <w:tr w:rsidR="00934BFB">
        <w:trPr>
          <w:trHeight w:hRule="exact" w:val="55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Приобретенные передвижные медицинские комплексы переданы в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Предоставлены сведения о перечне медицинских организаций, в которые переданы медицинские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комплексы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Приобретенные передвижные медицинские комплексы переданы в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Предоставлены сведения о перечне медицинских организаций, в которые переданы медицинские комплексы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86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9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59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помощи.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Крикуненко А. А., Министр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ики финансирования (за счет средств бюджетов субъектов Российской Федерации,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Республики 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оми.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разработка и согласование ПСД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 строительство/реконструкцию).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 конца 2020 года будут выполнены работы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строительству/реконструкции вертолетных площадок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или развертыванию сборно-разборных мобильных посадочных комплексов.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262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60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сведения о потребно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сти в строительстве (реконструкции) вертолетных (посадочных) площадок, их местоположении, источниках финансирования 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67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80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по согласованию с Минздравом России определена потребность в строительстве (реконструкции) вертолетных (посадочных) площадок и выбрано их местоположение, определены источники финансирования (за счет средств бюд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жетов субъектов Российской Федерации, или с использованием механизмов государственно-частного партнерства, или с привлечением средств инвесторов)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0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лены сведения о материально-техническом обеспечении строительства/реконструкции вертолетных площадок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строительство/реконструкцию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функционировании построенных/реконструированных вертолетных площадок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работы по строительству/реконструкции вертолетных площадок или развертыванию сборно-разборных мобильных посадочных комплексов.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21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6 новых фельдшерско-акушерских пунктов (Республика Коми)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Земельный участок предоставлен заказчику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В., 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в Минздрав России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Земельный участок предоставлен заказчику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В., 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в Минздрав России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7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Получены положительные заключения по результатам государственных экспертиз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предоставлены отчеты о получении положительных заключе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ний по результатам государственных экспертиз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Разработаны ПСД на строительство (замену) 6  ФАПов, направлены на государственную экспертизу в АУ РК "Управление государственной экспертизы РК". Получены заключения по результатам экспертизы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предоставлены отчеты о получении положительных заключений по результатам государственных экспертиз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Получено разрешение на строительство (реконструкцию)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получении разрешений на строительство (реконструкцию)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Получено разрешение на строительство (реконструкцию)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получении разрешений на строительство (реконструкцию)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9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Строительно-монтажные работы завершены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завершении строительно-монтажных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Строительно-монтажные работы завершены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завершении строительно-монтажных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Заключение органа государственного строительного надзора получено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строительства и дорожного хозяйства Республик Коми предоставлен отчет о получении заключений органа государственного строительного надзора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Заключение органа государственного строительного надзора получено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мущества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7.6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Объект недвижимого имущества введен в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имущества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 недвижимого имущества введен в эксплуатацию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имущества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с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инздравом России о предоставлении бюджету Республике Коми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7.7.1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бюджету Республике Коми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с Минздравом России о предоставлении бюджету Республике Коми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3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519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7.8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ленных пунктов с численностью населения от 100 до 2000 человек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7.9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ленных пунктов с численностью населения от 100 до 2000 человек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46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7.10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Предоставлен отчет об использовании межбюджетных трансфертов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амбулаторий для насе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ленных пунктов с численностью населения от 100 до 2000 человек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6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75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ованных лиц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В Республике Коми страховыми медицинскими организациями в 2021 году открыты офисы (представительства) по защите прав застрахованных лиц.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первичную медико-сан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итарную помощь,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– 3,6 % в 2019 году, 21,8 % в 2020 году, 32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,7 % в 2021 году, 40,0 % в 2022 году, 45,5 % в 2023 году, 50,9 % в 2024 году.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Страховыми 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организациям 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 результатам оказания им медицинской помощи. Будут урегулированы страховыми медицинскими организациями Республики Коми в досудебном порядке 53,0 % в 2019 году, 57,0% в 2020 году, 61,5% в 2021 году, 65,5% в 2022 году, 69,5% в 2023 году, 73,5% в 2024 году 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боснованных жалоб пациентов от общего количества поступивших жалоб.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23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33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02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застрахованных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Открыты страховыми медицинскими организациями Республики Коми офисы (представительств) по защите прав застрахованных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0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0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5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75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0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8.6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Открыты страховыми медицинскими организациями Республики Коми офисы (представительств) по защите прав застрахованных в Республике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ерством здравоохранения Республики Коми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Открытие страховыми медицинскими организациями Республики Коми офисов (представительств) по защите прав застрахованных в 2021 году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44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0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фондами обязательного медицинского страхования представлен отчет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8.8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61,5 %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5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75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0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8.9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40,0 %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5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8.10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</w:t>
            </w:r>
          </w:p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65,5 %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5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75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0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69,5 %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5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75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0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участвующих в реализац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ии программы ОМС, функционируют каналы оперативной связи граждан со страховыми представителями страховых медицинских организаций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страховых медицинских организаций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4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73,5 %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3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Обоснованные жалобы урегулированы страховыми медицинскими организациями Республики Коми в досудебном порядке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75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75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6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более 500 мобильных медицинских комплексов, приобретенных в 2020 году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В Республике Коми в первом квартале 2021 года будут разработаны и утверждены планы-графики работы передвижных медицинских комплексов, в том числе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в населенных пунктах до 100 человек.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161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Минздравом республики Коми будет обеспечено выполнение утвержденных планов-графиков работы.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265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1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12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48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Коим разработаны и предоставлены утвержденные пла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ны-графики работы передвижных медицинских комплексов, в том числе в населенных пунктах до 100 человек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53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разработаны и утверждены планы-графики работы передвижных медицинских комплексов, в том числе в населенных пунктах до 100 человек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3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364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03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отчеты о выполнении утвержденных планов-графиков работы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Министерством здравоохранения Республики Коми обеспечено выполнение утвержденных планов-графиков работы. Обеспечена доступность первичной медико-санитарной помощи для всех граждан, проживающих в населенных пунктах с числом жителей до 100 человек. Проведена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оценка эффективности реализуемых мероприятий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63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622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6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более 1300 мобильных медицинских комплексов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Приобретенные передвижные медицинские комплексы до конца 2020 года будут переданы в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кие организации Республики Коми.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22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Приобретенные передвижные медицинские комплексы переданы в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Фролов Д.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перечне медицинских организации, в которые переданы медицинские комплексы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Приобретенные передвижные медицинские комплексы переданы в медицинские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08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</w:t>
            </w:r>
          </w:p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Березин Д. Б., министр здравоохранения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На основании типовой стратегии разработанной Минздравом России, Правительством Республики Коми будут разработана и утверждена региональная стратегия развития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бюджетов субъектов Российской Федерации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санитарной авиации на период до 2024 года. 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Минздравом Республики Коми, будет заключен государственный контракт на закупку авиационных работ в целях оказания медицинской 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скорой специализированной 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2020 год дополнительно не менее чем 109 вылетов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позволят дополнительно эвакуировать в 2020 году не менее 151 пациента, нуждающихся в оказании скорой специализированной 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2021 год дополнительно не менее чем 128 вылетов позволят дополнительно эвакуировать в 2021 году не менее 177 пац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иента, нуждающихся в оказании 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скорой специализированной 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2022 год дополнительно не менее чем 142 вылетов позволят дополнительно эвакуировать в 2022 году не менее 196 пациентов, нуждающихся в оказании скорой специализированной 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Выполненные за 2023 год дополнительно не менее чем 156 вылетов позволят дополнительно эвакуировать в 2023 году не менее 215 пациентов, нуждающихся в оказании скорой специализированной 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Выполненные за 2024 год дополнительно не менее чем 169 вылетов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позволят дополнительно эвакуировать в 2024 году не менее 233 пациентов, нуждающихся в оказании скорой специализированной </w:t>
            </w:r>
          </w:p>
          <w:p w:rsidR="00934BFB" w:rsidRDefault="00934BFB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помощи.</w:t>
            </w:r>
          </w:p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83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региональные стратегии развития санитарной авиации на период до 2024 года в 49 субъектах Российской Федерации, участвующих в реализации мероприятия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Региональные стратегии развития санитарной авиации на период до 2024 года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Утверждена региональная стратегия развития санитарной авиации на период до 2024 года в Республике Коми, участвующей в реализации мероприятия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Распоряжение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146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2019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Государственный контракт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закупку авиационных работ в целях оказания медицинской помощи на 2019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11.6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109 вылетов, в дополнение к вылетам, совершаемым за счет средств республиканского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94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11.8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2020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11.9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128 вылетов, в дополнение к вылетам, совершаемым за счет средств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представлена в Минздрав России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68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11.10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2021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142 вылета, в дополнение к вылетам, совершаемым за счет средств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67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11.14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2022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0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0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11.16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РНП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2023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11.18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 счет средств субсидии на закупку авиационных работ в целях оказания медицинской помощи в 2024 году выполнено не менее 169 вылетов, в дополнение к вылетам, совершаемым за счет средств бюджета Республики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68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55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11.19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С субъектами Российской Федерации заключены соглашения о предоставлении бюджетам субъектов Российской Федерации межбюджетных трансфертов*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2024 год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23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34BFB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934BFB"/>
        </w:tc>
      </w:tr>
      <w:tr w:rsidR="00934BFB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34BFB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11.20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34BFB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ГБУ РК "ТЦМК" заключен государственный контракт на закупку авиационных работ в целях оказания медицинской помощи на 2024 год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934BFB" w:rsidRDefault="00934BFB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34BFB">
        <w:trPr>
          <w:trHeight w:hRule="exact" w:val="249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493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</w:tr>
      <w:tr w:rsidR="00934BFB">
        <w:trPr>
          <w:trHeight w:hRule="exact" w:val="573"/>
        </w:trPr>
        <w:tc>
          <w:tcPr>
            <w:tcW w:w="11462" w:type="dxa"/>
            <w:gridSpan w:val="29"/>
          </w:tcPr>
          <w:p w:rsidR="00934BFB" w:rsidRDefault="00934BFB"/>
        </w:tc>
        <w:tc>
          <w:tcPr>
            <w:tcW w:w="4156" w:type="dxa"/>
            <w:gridSpan w:val="10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№2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934BFB">
        <w:trPr>
          <w:trHeight w:hRule="exact" w:val="573"/>
        </w:trPr>
        <w:tc>
          <w:tcPr>
            <w:tcW w:w="11462" w:type="dxa"/>
            <w:gridSpan w:val="29"/>
          </w:tcPr>
          <w:p w:rsidR="00934BFB" w:rsidRDefault="00934BFB"/>
        </w:tc>
        <w:tc>
          <w:tcPr>
            <w:tcW w:w="4156" w:type="dxa"/>
            <w:gridSpan w:val="10"/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</w:tr>
      <w:tr w:rsidR="00934BFB">
        <w:trPr>
          <w:trHeight w:hRule="exact" w:val="86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МЕТОДИКА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расчета дополнительных показателей регионального проекта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 МЛН ЧЕЛ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078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- Число граждан, прошедших профилактические осмотры и диспансеризацию, МЛН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30 «Сведения о медицинской организации» (таблица 2510),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Ежемесячно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абсолютный</w:t>
            </w:r>
          </w:p>
        </w:tc>
      </w:tr>
      <w:tr w:rsidR="00934BFB">
        <w:trPr>
          <w:trHeight w:hRule="exact" w:val="206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98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106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 ПРОМИЛЛЕ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035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- Общее число умерших за год*1000/Среднегодовая численность населения, ПРОМИЛЛЕ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Форма федерального статистического наблюдения № 30 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ЧЕЧЕНСКОЙ РЕСПУБЛИКИ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Ежемесячно</w:t>
            </w:r>
          </w:p>
        </w:tc>
        <w:tc>
          <w:tcPr>
            <w:tcW w:w="300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Общее число умерших за год*1000/Среднегодовая численность населения</w:t>
            </w:r>
          </w:p>
        </w:tc>
      </w:tr>
      <w:tr w:rsidR="00934BFB">
        <w:trPr>
          <w:trHeight w:hRule="exact" w:val="25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55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107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702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 ПРОЦ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967266" cy="640106"/>
                  <wp:effectExtent l="0" t="0" r="0" b="0"/>
                  <wp:docPr id="4" name="Picture 3" descr="Image000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организации» (табл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ателя – относительный</w:t>
            </w:r>
          </w:p>
        </w:tc>
      </w:tr>
      <w:tr w:rsidR="00934BFB">
        <w:trPr>
          <w:trHeight w:hRule="exact" w:val="2006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9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108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71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ица 3000), еже-годно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b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злокачественными новообразованиями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о числе 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5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109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c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сахарным диабетом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«Сведения о числе заболев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6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110</w:t>
            </w:r>
          </w:p>
        </w:tc>
      </w:tr>
      <w:tr w:rsidR="00934BFB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d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сахарным диабетом I типа с впервые в жизни установленным диагнозом, выявленных при проф. осмотре и диспансеризации определенных групп взрослого населения,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Форма федерального статистического наблюдения № 12 «Сведения о числе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заболеваний, зарегистрированных у пациентов, проживающих в районе обслуживания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7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111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e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болезнью системы кровообращения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«Сведения о числе заболеваний, зарегистрированных у пациентов, проживающих в районе обслуживания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6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112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f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злокачественными новообразованиями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«Сведения о числе заболеваний, зарегистрированных у пациентов, проживающих в районе обслуживани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 медицинской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6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113</w:t>
            </w:r>
          </w:p>
        </w:tc>
      </w:tr>
      <w:tr w:rsidR="00934BFB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g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сахарным диабетом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медицинской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6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114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хронических неинфекционных заболеваний (ХНИЗ), выявленных при проведении диспансеризации и профилактическом медицинском осмотре у взрослого населения, от общего числа ХНИЗ с впервые установленным диагнозом,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h - Число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регистрированных заболеваний сахарным диабетом I типа с впервые в жизни установленным диагнозом,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12 «Сведения о числе заболеваний, зарегистрированных у пациентов, проживающих в районе обслуживания медицинс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кой организации» (таблица 3000),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22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220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27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115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702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 ЕД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1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- Количество медицинских организаций, участвующих в создании и тиражировании «Новой модели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едицинской организации, оказывающей первичную медико-санитарную помощь»,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Административная информация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 – общее количество медицинских организ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аций, оказывающих первичную медико-санитарную помощь, определяется с учетом количества самостоятельных поликлиник и детских поликлиник (в соответствии с формой федерального статистического наблюдения № 47 "Сведения о сети и деятельности медицинских организ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аций", утвержденной приказом Росстата от 27 ноября 2015 г. № 591, за 2017 год соответственно по стр. 2, графа 3 и стр. 3, графа 3, таблицы 0600), количества поликлиник (поликлинических отделений), детских </w:t>
            </w:r>
          </w:p>
        </w:tc>
      </w:tr>
      <w:tr w:rsidR="00934BFB">
        <w:trPr>
          <w:trHeight w:hRule="exact" w:val="2006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92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116</w:t>
            </w:r>
          </w:p>
        </w:tc>
      </w:tr>
      <w:tr w:rsidR="00934BFB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поликлинических отделений медицинских организаций (детских поликлиник (подразделений, отделов, отделений), консультативно-диагностических центров, консультативно-диагностических центров для детей (подразделений, отделов, отделений) (в соответствии с формой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федерального статистического наблюдения № 30 "Сведения о медицинской организации", утвержденной приказом Росстата от 27 декабря 2016 № 866, за 2017 год соответственно стр.88, графа 4, стр. 13, графа 4 и стр. 31, графа 4, стр. 32, графа 4 таблицы 1001).</w:t>
            </w:r>
          </w:p>
        </w:tc>
      </w:tr>
      <w:tr w:rsidR="00934BFB">
        <w:trPr>
          <w:trHeight w:hRule="exact" w:val="1949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949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80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 ПРОЦ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5" name="Picture 4" descr="Image000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зарегистр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 / Общее количество записей к врачу по всем источникам, включая регистратуру медицинских организаций, заре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гистрированных в подсистеме «Федеральная электронная регистратура» единой государственной информационной системы в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NЕГИСЗ - Количество записей к врачу, совершенных гражданами без обращения в регистратуру медицинской организации, в том числе с помощью един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ого портала государственных услуг и функций, региональных порталов государственных услуг, инфоматов и Call-центров, зарегистрированных в подсистеме «Федеральная электронная регистратура» единой государственной информационной 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«Федеральная электронная регис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тратура» единой государственной информационной системы в сфере здравоохранения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 значения показателя будет осуществляться на основе сведений, передава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емых государственными информационными системами в сфере здравоохранения субъектов РФ в подсистему «Федеральная электронная регистратура» единой государственной системы в сфере здравоохранения</w:t>
            </w:r>
          </w:p>
        </w:tc>
      </w:tr>
      <w:tr w:rsidR="00934BFB">
        <w:trPr>
          <w:trHeight w:hRule="exact" w:val="2134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135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118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1233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сфере здравоохранения в отчетном периоде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системы в сфере здравоохранения в отчетном периоде, ЕД 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34BFB">
        <w:trPr>
          <w:trHeight w:hRule="exact" w:val="28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2250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2235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119</w:t>
            </w:r>
          </w:p>
        </w:tc>
      </w:tr>
      <w:tr w:rsidR="00934BFB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записей к врачу, совершенных гражданами без обращения в регистратуру медицинской организации, в том числе с помощью единого портала государственных услуг и функций, региональных порталов государственных услуг, инфоматов и Call-центров,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 / Общее количество записей к врачу по всем источникам, включая регистратуру медицинских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ий,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KЕГИСЗ - Общее количество записей к врачу по всем источникам, включая регистратуру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их организаций, зарегистрированных в подсистеме «Федеральная электронная регистратура» единой государственной информационной системы в сфере здравоохранения в отчетном периоде,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«Федеральная электронная регистратура» единой государственной информационной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системы в сфере здравоохранения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 значения показателя будет осуществляться на основе сведений, передаваемых государственными информационными системами в сфере здравоохранения субъектов РФ в подсистему «Федеральная электронная регистратура» единой государственной системы в сфере 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равоохранения</w:t>
            </w:r>
          </w:p>
        </w:tc>
      </w:tr>
      <w:tr w:rsidR="00934BFB">
        <w:trPr>
          <w:trHeight w:hRule="exact" w:val="2350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350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702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 ПРОЦ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6" name="Picture 5" descr="Image000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86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200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1991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121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обоснованных жалоб, урегулированных в досудебном порядке страховыми медицинскими организациями / общее количество поступивших жалоб)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ур.ж - Количество обоснованных жалоб, урегулированных в досудебном порядке страховыми медицинскими организациями,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 ФОМС от 16.08.2011 № 145 «Об утверждении формы и порядка ведения отчетности ПГ «Организация защиты прав застрахованных лиц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обязательного медицинского страхования» (Таблица 1.2 и Таблица 2.1)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ГОСУДАРСТВЕННОЕ НЕКОММЕРЧЕСКОЕ ФИНАНСОВО-КРЕДИТНОЕ УЧРЕЖДЕНИЕ КИРОВСКИЙ ОБЛАСТНОЙ ТЕРРИТОРИАЛЬНЫЙ ФОНД ОБЯЗАТЕЛЬНОГО МЕДИЦИНСКОГО СТРАХОВАНИЯ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артально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49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479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7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122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обоснованных жалоб, урегулированных в досудебном порядке страховыми медицинскими организациями / общее количество поступивших жалоб)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 ж - Общее количество поступивших жалоб,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 ФОМС от 16.08.2011 № 145 «Об утверждении формы и 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ядка ведения отчетности ПГ «Организация защиты прав застрахованных лиц в сфере обязательного медицинского страхования» (Таблица 1.2 и Таблица 2.1)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ГОСУДАРСТВЕННОЕ НЕКОММЕРЧЕСКОЕ ФИНАНСОВО-КРЕДИТНОЕ УЧРЕЖДЕНИЕ КИРОВСКИЙ ОБЛАСТНОЙ ТЕРРИТОРИАЛЬНЫЙ ФОНД ОБЯЗАТ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ЕЛЬНОГО МЕДИЦИНСКОГО СТРАХОВАНИЯ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Ежеквартально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249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479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7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123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96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 представителя, телефон, терминал для связи со страховым представителем) ПРОЦ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7" name="Picture 6" descr="Image0000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608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оказывающих первичную медико-санитарную помощь,  на базе которых функционируют каналы связи граждан со страховыми представителями страховых медицинских организаций / количество медицинских организаций, оказывающих первич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ную медико-санитарную помощь,  участвующих в реализации программы ОМС)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Ckos - Количество медицинских организаций, оказывающих первичную медико-санитарную помощь, на базе которых функционируют каналы связи граждан со страховыми представителями страховы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медицинских организаций,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Административная информация на основании приказа ФОМС от 29.11.2018 № 262 «Об установлении форм отчета» (Таблица 2 Приложения 2).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ГОСУДАРСТВЕННОЕ БЮДЖЕТНОЕ УЧРЕЖДЕНИЕ РЕСПУБЛИКИ КОМИ "ТЕРРИТОРИАЛЬНЫЙ ФОНД ОБЯЗАТЕЛЬНОГО МЕДИЦИН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СКОГО СТРАХОВАНИЯ РЕСПУБЛИКИ КОМИ"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Ежемесячно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- относительный</w:t>
            </w:r>
          </w:p>
        </w:tc>
      </w:tr>
      <w:tr w:rsidR="00934BFB">
        <w:trPr>
          <w:trHeight w:hRule="exact" w:val="259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40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124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2608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Количество медицинских организаций, оказывающих первичную медико-санитарную помощь,  на базе которых функционируют каналы связи граждан со страховыми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представителями страховых медицинских организаций / количество медицинских организаций, оказывающих первич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ную медико-санитарную помощь,  участвующих в реализации программы ОМС) *100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Cko - Количество медицинских организаций, оказывающих первичную медико-санитарную помощь,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участвующих в реализации программы ОМС, ЕД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Административная информация на основании приказ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 ФОМС от 29.11.2018 № 262 «Об установлении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форм отчета» (Таблица 2 Приложения 2).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ГОСУДАРСТВЕННОЕ БЮДЖЕТНОЕ УЧРЕЖДЕНИЕ РЕСПУБЛИКИ КОМИ "ТЕРРИТОРИАЛЬНЫЙ ФОНД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ОБЯЗАТЕЛЬНОГО МЕДИЦИНСКОГО СТРАХОВАНИЯ РЕСПУБЛИКИ КОМИ"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934BF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емесячно</w:t>
            </w: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- относительный</w:t>
            </w:r>
          </w:p>
        </w:tc>
      </w:tr>
      <w:tr w:rsidR="00934BFB">
        <w:trPr>
          <w:trHeight w:hRule="exact" w:val="259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69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1676"/>
        </w:trPr>
        <w:tc>
          <w:tcPr>
            <w:tcW w:w="15618" w:type="dxa"/>
            <w:gridSpan w:val="39"/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125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29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 Тысяча посещений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8" name="Picture 7" descr="Image000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233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мобильными медицинскими бригадами / 1 000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Cpmb - Количество посещений мобильными медицинскими бригадами, Тысяча посещений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федерального статистического наблюдения № 30 «Сведения о медицинской организации» (таблица 2105, стр. 14, гр. 3), ежегодно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- абсолютный</w:t>
            </w:r>
          </w:p>
        </w:tc>
      </w:tr>
      <w:tr w:rsidR="00934BFB">
        <w:trPr>
          <w:trHeight w:hRule="exact" w:val="2335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4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126</w:t>
            </w:r>
          </w:p>
        </w:tc>
      </w:tr>
      <w:tr w:rsidR="00934BFB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 ПРОЦ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9" name="Picture 8" descr="Image000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1934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вылеты, %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Ne - Число лиц, госпитализированных по экстренным показаниям в результате санитарно-авиационной эвакуации в течение первых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суток с момента передачи вызова авиамедицинской выездной бригаде скорой медицинской помощи,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относительный</w:t>
            </w:r>
          </w:p>
        </w:tc>
      </w:tr>
      <w:tr w:rsidR="00934BFB">
        <w:trPr>
          <w:trHeight w:hRule="exact" w:val="1934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548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Nt - Число лиц, в отношении которых осуществлен вызов авиамедицинской выездной бригады скорой медицинской помощи,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153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  <w:tr w:rsidR="00934BFB">
        <w:trPr>
          <w:trHeight w:hRule="exact" w:val="20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934BFB" w:rsidRDefault="00934BFB"/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127</w:t>
            </w:r>
          </w:p>
        </w:tc>
      </w:tr>
      <w:tr w:rsidR="00934BFB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34BFB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34BFB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4BFB" w:rsidRDefault="00045F7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 ЧЕЛ</w:t>
            </w:r>
          </w:p>
        </w:tc>
      </w:tr>
      <w:tr w:rsidR="00934BFB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34BFB" w:rsidRDefault="000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10" name="Picture 9" descr="Image000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BFB">
        <w:trPr>
          <w:trHeight w:hRule="exact" w:val="180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в отчетном году с использованием санитарной авиации за счет средств субсидии из федерального бюджета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Nдоп - Количество дополнительно эвакуированных пациентов, в отношении которых была выполнена санитарно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-авиационная эвакуация при оказании скорой, в том числе скорой специализированной, медицинской помощи,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основании учетной формы № 110-у «Карта вызова скорой медицинской помощи»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34BFB" w:rsidRDefault="00045F7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показателя – абсолютный</w:t>
            </w:r>
          </w:p>
        </w:tc>
      </w:tr>
      <w:tr w:rsidR="00934BFB">
        <w:trPr>
          <w:trHeight w:hRule="exact" w:val="1806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34BFB" w:rsidRDefault="00934BFB"/>
        </w:tc>
      </w:tr>
    </w:tbl>
    <w:p w:rsidR="00045F7A" w:rsidRDefault="00045F7A"/>
    <w:sectPr w:rsidR="00045F7A">
      <w:pgSz w:w="16834" w:h="13349" w:orient="landscape"/>
      <w:pgMar w:top="1134" w:right="576" w:bottom="526" w:left="576" w:header="1134" w:footer="5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, sans-serif">
    <w:altName w:val="Times New Roman"/>
    <w:charset w:val="00"/>
    <w:family w:val="auto"/>
    <w:pitch w:val="default"/>
  </w:font>
  <w:font w:name="&amp;quo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FB"/>
    <w:rsid w:val="00045F7A"/>
    <w:rsid w:val="00934BFB"/>
    <w:rsid w:val="00D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9CC57-5216-41E8-A022-6FD6B623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24118</Words>
  <Characters>137473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RP_Razvitie_pervichnoj_mediko-sanitarnoj_pomoshhi_(Respublika_Komi)</vt:lpstr>
    </vt:vector>
  </TitlesOfParts>
  <Company>Stimulsoft Reports 2019.3.4 from 5 August 2019</Company>
  <LinksUpToDate>false</LinksUpToDate>
  <CharactersWithSpaces>161269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RP_Razvitie_pervichnoj_mediko-sanitarnoj_pomoshhi_(Respublika_Komi)</dc:title>
  <dc:subject>RP_Razvitie_pervichnoj_mediko-sanitarnoj_pomoshhi_(Respublika_Komi)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2019-11-16T14:42:00Z</dcterms:created>
  <dcterms:modified xsi:type="dcterms:W3CDTF">2019-11-16T14:42:00Z</dcterms:modified>
</cp:coreProperties>
</file>